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1F45F">
      <w:pPr>
        <w:jc w:val="center"/>
        <w:rPr>
          <w:rFonts w:hint="eastAsia"/>
          <w:b/>
          <w:bCs/>
          <w:sz w:val="32"/>
          <w:szCs w:val="32"/>
        </w:rPr>
      </w:pPr>
      <w:r>
        <w:rPr>
          <w:rFonts w:hint="eastAsia"/>
          <w:b/>
          <w:bCs/>
          <w:sz w:val="32"/>
          <w:szCs w:val="32"/>
        </w:rPr>
        <w:t>西罗园社区卫生服务中心</w:t>
      </w:r>
    </w:p>
    <w:p w14:paraId="64C9E6E2">
      <w:pPr>
        <w:jc w:val="center"/>
        <w:rPr>
          <w:b/>
          <w:bCs/>
          <w:sz w:val="32"/>
          <w:szCs w:val="32"/>
        </w:rPr>
      </w:pPr>
      <w:r>
        <w:rPr>
          <w:rFonts w:hint="eastAsia"/>
          <w:b/>
          <w:bCs/>
          <w:sz w:val="32"/>
          <w:szCs w:val="32"/>
        </w:rPr>
        <w:t>统一端点安全管理系统项目</w:t>
      </w:r>
    </w:p>
    <w:p w14:paraId="550A173A">
      <w:pPr>
        <w:jc w:val="center"/>
        <w:rPr>
          <w:b/>
          <w:bCs/>
          <w:sz w:val="32"/>
          <w:szCs w:val="32"/>
        </w:rPr>
      </w:pPr>
      <w:r>
        <w:rPr>
          <w:rFonts w:hint="eastAsia"/>
          <w:b/>
          <w:bCs/>
          <w:sz w:val="32"/>
          <w:szCs w:val="32"/>
        </w:rPr>
        <w:t>遴选需求</w:t>
      </w:r>
    </w:p>
    <w:p w14:paraId="0DD1861F">
      <w:pPr>
        <w:jc w:val="left"/>
        <w:rPr>
          <w:sz w:val="28"/>
          <w:szCs w:val="28"/>
        </w:rPr>
      </w:pPr>
      <w:r>
        <w:rPr>
          <w:rFonts w:hint="eastAsia"/>
          <w:b/>
          <w:bCs/>
          <w:sz w:val="28"/>
          <w:szCs w:val="28"/>
        </w:rPr>
        <w:t>一、项目名称：</w:t>
      </w:r>
      <w:r>
        <w:rPr>
          <w:rFonts w:hint="eastAsia"/>
          <w:sz w:val="28"/>
          <w:szCs w:val="28"/>
        </w:rPr>
        <w:t>统一端点安全管理系统项目</w:t>
      </w:r>
    </w:p>
    <w:p w14:paraId="7C4EF3FA">
      <w:pPr>
        <w:jc w:val="left"/>
        <w:rPr>
          <w:sz w:val="28"/>
          <w:szCs w:val="28"/>
        </w:rPr>
      </w:pPr>
      <w:r>
        <w:rPr>
          <w:rFonts w:hint="eastAsia"/>
          <w:b/>
          <w:bCs/>
          <w:sz w:val="28"/>
          <w:szCs w:val="28"/>
        </w:rPr>
        <w:t>二、项目内容：</w:t>
      </w:r>
    </w:p>
    <w:p w14:paraId="70674BCB">
      <w:pPr>
        <w:ind w:firstLine="560" w:firstLineChars="200"/>
        <w:jc w:val="left"/>
        <w:rPr>
          <w:rFonts w:ascii="宋体" w:hAnsi="宋体" w:eastAsia="宋体"/>
          <w:sz w:val="28"/>
          <w:szCs w:val="28"/>
        </w:rPr>
      </w:pPr>
      <w:r>
        <w:rPr>
          <w:rFonts w:hint="eastAsia" w:ascii="宋体" w:hAnsi="宋体" w:eastAsia="宋体"/>
          <w:sz w:val="28"/>
          <w:szCs w:val="28"/>
        </w:rPr>
        <w:t>为强化西罗园社区卫生服务中心网络安全防护能力，计划通过本项目建设，在互联网与医疗内网的边界区域这一关键防护节点上，新增防火墙等专业安全设备，构建网络边界的第一道防线，用以阻断外部网络的非法访问与攻击渗透，降低外部风险向医疗内网传导的可能。在终端安全防护方面，拟统一采用端点安全软件作为防病毒解决方案，通过安全技术升级，实现覆盖中心及各社区站终端的全方位、一体化安全防护。</w:t>
      </w:r>
    </w:p>
    <w:p w14:paraId="610DFB1C">
      <w:pPr>
        <w:ind w:firstLine="560" w:firstLineChars="200"/>
        <w:jc w:val="left"/>
        <w:rPr>
          <w:rFonts w:ascii="宋体" w:hAnsi="宋体" w:eastAsia="宋体"/>
          <w:sz w:val="28"/>
          <w:szCs w:val="28"/>
        </w:rPr>
      </w:pPr>
      <w:r>
        <w:rPr>
          <w:rFonts w:hint="eastAsia" w:ascii="宋体" w:hAnsi="宋体" w:eastAsia="宋体"/>
          <w:sz w:val="28"/>
          <w:szCs w:val="28"/>
        </w:rPr>
        <w:t>本项目最高限价为人民币 19.85 万元。</w:t>
      </w:r>
    </w:p>
    <w:p w14:paraId="0A059ACD">
      <w:pPr>
        <w:jc w:val="left"/>
        <w:rPr>
          <w:b/>
          <w:bCs/>
          <w:sz w:val="28"/>
          <w:szCs w:val="28"/>
        </w:rPr>
      </w:pPr>
      <w:r>
        <w:rPr>
          <w:rFonts w:hint="eastAsia"/>
          <w:b/>
          <w:bCs/>
          <w:sz w:val="28"/>
          <w:szCs w:val="28"/>
        </w:rPr>
        <w:t>三、中选企业资质要求：</w:t>
      </w:r>
    </w:p>
    <w:p w14:paraId="1C4B9A39">
      <w:pPr>
        <w:jc w:val="left"/>
        <w:rPr>
          <w:sz w:val="28"/>
          <w:szCs w:val="28"/>
        </w:rPr>
      </w:pPr>
      <w:r>
        <w:rPr>
          <w:rFonts w:hint="eastAsia"/>
          <w:sz w:val="28"/>
          <w:szCs w:val="28"/>
        </w:rPr>
        <w:t>（一）资质证明:投标单位须为在中华人民共和国境内注册，具有独立法人资格，持有有效的营业执照，具备履行本项目的人员及能力。</w:t>
      </w:r>
    </w:p>
    <w:p w14:paraId="78B79189">
      <w:pPr>
        <w:jc w:val="left"/>
        <w:rPr>
          <w:sz w:val="28"/>
          <w:szCs w:val="28"/>
        </w:rPr>
      </w:pPr>
      <w:r>
        <w:rPr>
          <w:rFonts w:hint="eastAsia"/>
          <w:sz w:val="28"/>
          <w:szCs w:val="28"/>
        </w:rPr>
        <w:t>（二）经验要求:具备类似工作业绩。</w:t>
      </w:r>
    </w:p>
    <w:p w14:paraId="28810409">
      <w:pPr>
        <w:jc w:val="left"/>
        <w:rPr>
          <w:rFonts w:ascii="宋体" w:hAnsi="宋体" w:eastAsia="宋体"/>
          <w:sz w:val="28"/>
          <w:szCs w:val="28"/>
        </w:rPr>
      </w:pPr>
      <w:r>
        <w:rPr>
          <w:rFonts w:hint="eastAsia"/>
          <w:sz w:val="28"/>
          <w:szCs w:val="28"/>
        </w:rPr>
        <w:t xml:space="preserve">（三）服务能力: </w:t>
      </w:r>
      <w:r>
        <w:rPr>
          <w:rFonts w:hint="eastAsia" w:ascii="宋体" w:hAnsi="宋体" w:eastAsia="宋体"/>
          <w:sz w:val="28"/>
          <w:szCs w:val="28"/>
        </w:rPr>
        <w:t>具备供应商具有ISO9001质量管理体系认证证书。</w:t>
      </w:r>
    </w:p>
    <w:p w14:paraId="2ACDF19A">
      <w:pPr>
        <w:jc w:val="left"/>
        <w:rPr>
          <w:b/>
          <w:bCs/>
          <w:sz w:val="28"/>
          <w:szCs w:val="28"/>
        </w:rPr>
      </w:pPr>
      <w:r>
        <w:rPr>
          <w:rFonts w:hint="eastAsia"/>
          <w:b/>
          <w:bCs/>
          <w:sz w:val="28"/>
          <w:szCs w:val="28"/>
        </w:rPr>
        <w:t>四、详细技术需求</w:t>
      </w:r>
    </w:p>
    <w:p w14:paraId="4AA76C97">
      <w:pPr>
        <w:snapToGrid w:val="0"/>
        <w:spacing w:line="360" w:lineRule="auto"/>
        <w:outlineLvl w:val="1"/>
        <w:rPr>
          <w:rFonts w:ascii="宋体" w:hAnsi="宋体" w:eastAsia="宋体" w:cs="仿宋"/>
          <w:b/>
          <w:bCs/>
          <w:sz w:val="24"/>
        </w:rPr>
      </w:pPr>
      <w:r>
        <w:rPr>
          <w:rFonts w:hint="eastAsia" w:ascii="宋体" w:hAnsi="宋体" w:eastAsia="宋体" w:cs="仿宋"/>
          <w:b/>
          <w:bCs/>
          <w:sz w:val="24"/>
        </w:rPr>
        <w:t>1、2 套下一代防火墙（卫生服务中心边界）</w:t>
      </w:r>
    </w:p>
    <w:tbl>
      <w:tblPr>
        <w:tblStyle w:val="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134"/>
        <w:gridCol w:w="6379"/>
      </w:tblGrid>
      <w:tr w14:paraId="66E3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704" w:type="dxa"/>
            <w:vAlign w:val="center"/>
          </w:tcPr>
          <w:p w14:paraId="20D97D3C">
            <w:pPr>
              <w:spacing w:line="360" w:lineRule="auto"/>
              <w:jc w:val="center"/>
              <w:rPr>
                <w:rFonts w:ascii="宋体" w:hAnsi="宋体" w:eastAsia="宋体" w:cs="仿宋"/>
                <w:b/>
                <w:sz w:val="24"/>
              </w:rPr>
            </w:pPr>
            <w:r>
              <w:rPr>
                <w:rFonts w:hint="eastAsia" w:ascii="宋体" w:hAnsi="宋体" w:eastAsia="宋体" w:cs="仿宋"/>
                <w:b/>
                <w:sz w:val="24"/>
              </w:rPr>
              <w:t>序号</w:t>
            </w:r>
          </w:p>
        </w:tc>
        <w:tc>
          <w:tcPr>
            <w:tcW w:w="1134" w:type="dxa"/>
            <w:vAlign w:val="center"/>
          </w:tcPr>
          <w:p w14:paraId="52A6353F">
            <w:pPr>
              <w:spacing w:line="360" w:lineRule="auto"/>
              <w:jc w:val="center"/>
              <w:rPr>
                <w:rFonts w:ascii="宋体" w:hAnsi="宋体" w:eastAsia="宋体" w:cs="仿宋"/>
                <w:sz w:val="24"/>
              </w:rPr>
            </w:pPr>
            <w:r>
              <w:rPr>
                <w:rFonts w:hint="eastAsia" w:ascii="宋体" w:hAnsi="宋体" w:eastAsia="宋体" w:cs="仿宋"/>
                <w:b/>
                <w:sz w:val="24"/>
              </w:rPr>
              <w:t>指标项</w:t>
            </w:r>
          </w:p>
        </w:tc>
        <w:tc>
          <w:tcPr>
            <w:tcW w:w="6379" w:type="dxa"/>
            <w:vAlign w:val="center"/>
          </w:tcPr>
          <w:p w14:paraId="4D55928B">
            <w:pPr>
              <w:spacing w:line="360" w:lineRule="auto"/>
              <w:jc w:val="center"/>
              <w:rPr>
                <w:rFonts w:ascii="宋体" w:hAnsi="宋体" w:eastAsia="宋体" w:cs="仿宋"/>
                <w:sz w:val="24"/>
              </w:rPr>
            </w:pPr>
            <w:r>
              <w:rPr>
                <w:rFonts w:hint="eastAsia" w:ascii="宋体" w:hAnsi="宋体" w:eastAsia="宋体" w:cs="仿宋"/>
                <w:b/>
                <w:sz w:val="24"/>
              </w:rPr>
              <w:t>指标要求</w:t>
            </w:r>
          </w:p>
        </w:tc>
      </w:tr>
      <w:tr w14:paraId="36F0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704" w:type="dxa"/>
            <w:vAlign w:val="center"/>
          </w:tcPr>
          <w:p w14:paraId="4AF537F7">
            <w:pPr>
              <w:spacing w:line="360" w:lineRule="auto"/>
              <w:contextualSpacing/>
              <w:jc w:val="center"/>
              <w:rPr>
                <w:rFonts w:ascii="宋体" w:hAnsi="宋体" w:eastAsia="宋体" w:cs="仿宋"/>
                <w:sz w:val="24"/>
              </w:rPr>
            </w:pPr>
            <w:r>
              <w:rPr>
                <w:rFonts w:hint="eastAsia" w:ascii="宋体" w:hAnsi="宋体" w:eastAsia="宋体" w:cs="仿宋"/>
                <w:sz w:val="24"/>
              </w:rPr>
              <w:t>1</w:t>
            </w:r>
          </w:p>
        </w:tc>
        <w:tc>
          <w:tcPr>
            <w:tcW w:w="1134" w:type="dxa"/>
            <w:vAlign w:val="center"/>
          </w:tcPr>
          <w:p w14:paraId="3C70C8AF">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基本要求</w:t>
            </w:r>
          </w:p>
        </w:tc>
        <w:tc>
          <w:tcPr>
            <w:tcW w:w="6379" w:type="dxa"/>
            <w:vAlign w:val="center"/>
          </w:tcPr>
          <w:p w14:paraId="4DCFC621">
            <w:pPr>
              <w:widowControl/>
              <w:spacing w:line="360" w:lineRule="auto"/>
              <w:textAlignment w:val="center"/>
              <w:rPr>
                <w:rFonts w:ascii="宋体" w:hAnsi="宋体" w:eastAsia="宋体" w:cs="仿宋"/>
                <w:sz w:val="24"/>
              </w:rPr>
            </w:pPr>
            <w:r>
              <w:rPr>
                <w:rFonts w:hint="eastAsia" w:ascii="宋体" w:hAnsi="宋体" w:eastAsia="宋体" w:cs="仿宋"/>
                <w:kern w:val="0"/>
                <w:sz w:val="24"/>
                <w:lang w:bidi="ar"/>
              </w:rPr>
              <w:t>标准1U机架式设备，硬盘≥128GSSD，实配千兆电口≥8个，千兆SFP接口≥2个。网络层吞吐量≥4G，</w:t>
            </w:r>
            <w:r>
              <w:rPr>
                <w:rFonts w:hint="eastAsia" w:ascii="宋体" w:hAnsi="宋体" w:eastAsia="宋体" w:cs="Times New Roman"/>
                <w:szCs w:val="21"/>
              </w:rPr>
              <w:t>应用层吞吐量</w:t>
            </w:r>
            <w:r>
              <w:rPr>
                <w:rFonts w:hint="eastAsia" w:ascii="宋体" w:hAnsi="宋体" w:eastAsia="宋体" w:cs="仿宋"/>
                <w:kern w:val="0"/>
                <w:sz w:val="24"/>
                <w:lang w:bidi="ar"/>
              </w:rPr>
              <w:t>≥</w:t>
            </w:r>
            <w:r>
              <w:rPr>
                <w:rFonts w:hint="eastAsia" w:ascii="宋体" w:hAnsi="宋体" w:eastAsia="宋体" w:cs="Times New Roman"/>
                <w:szCs w:val="21"/>
              </w:rPr>
              <w:t>2G，</w:t>
            </w:r>
            <w:r>
              <w:rPr>
                <w:rFonts w:hint="eastAsia" w:ascii="宋体" w:hAnsi="宋体" w:eastAsia="宋体" w:cs="仿宋"/>
                <w:kern w:val="0"/>
                <w:sz w:val="24"/>
                <w:lang w:bidi="ar"/>
              </w:rPr>
              <w:t>并发连接数≥200万，</w:t>
            </w:r>
            <w:r>
              <w:rPr>
                <w:rFonts w:hint="eastAsia" w:ascii="宋体" w:hAnsi="宋体" w:eastAsia="宋体" w:cs="Times New Roman"/>
                <w:sz w:val="24"/>
              </w:rPr>
              <w:t>IPS吞吐量</w:t>
            </w:r>
            <w:r>
              <w:rPr>
                <w:rFonts w:hint="eastAsia" w:ascii="宋体" w:hAnsi="宋体" w:eastAsia="宋体" w:cs="仿宋"/>
                <w:kern w:val="0"/>
                <w:sz w:val="24"/>
                <w:lang w:bidi="ar"/>
              </w:rPr>
              <w:t>≥</w:t>
            </w:r>
            <w:r>
              <w:rPr>
                <w:rFonts w:hint="eastAsia" w:ascii="宋体" w:hAnsi="宋体" w:eastAsia="宋体" w:cs="Times New Roman"/>
                <w:sz w:val="24"/>
              </w:rPr>
              <w:t>600M，</w:t>
            </w:r>
            <w:r>
              <w:rPr>
                <w:rFonts w:hint="eastAsia" w:ascii="宋体" w:hAnsi="宋体" w:eastAsia="宋体" w:cs="Times New Roman"/>
                <w:szCs w:val="21"/>
              </w:rPr>
              <w:t>防病毒吞吐量</w:t>
            </w:r>
            <w:r>
              <w:rPr>
                <w:rFonts w:hint="eastAsia" w:ascii="宋体" w:hAnsi="宋体" w:eastAsia="宋体" w:cs="仿宋"/>
                <w:kern w:val="0"/>
                <w:sz w:val="24"/>
                <w:lang w:bidi="ar"/>
              </w:rPr>
              <w:t>≥</w:t>
            </w:r>
            <w:r>
              <w:rPr>
                <w:rFonts w:hint="eastAsia" w:ascii="宋体" w:hAnsi="宋体" w:eastAsia="宋体" w:cs="Times New Roman"/>
                <w:szCs w:val="21"/>
              </w:rPr>
              <w:t>600M，</w:t>
            </w:r>
            <w:r>
              <w:rPr>
                <w:rFonts w:hint="eastAsia" w:ascii="宋体" w:hAnsi="宋体" w:eastAsia="宋体" w:cs="Times New Roman"/>
                <w:sz w:val="24"/>
              </w:rPr>
              <w:t>全威胁吞吐量</w:t>
            </w:r>
            <w:r>
              <w:rPr>
                <w:rFonts w:hint="eastAsia" w:ascii="宋体" w:hAnsi="宋体" w:eastAsia="宋体" w:cs="仿宋"/>
                <w:kern w:val="0"/>
                <w:sz w:val="24"/>
                <w:lang w:bidi="ar"/>
              </w:rPr>
              <w:t>≥</w:t>
            </w:r>
            <w:r>
              <w:rPr>
                <w:rFonts w:hint="eastAsia" w:ascii="宋体" w:hAnsi="宋体" w:eastAsia="宋体" w:cs="Times New Roman"/>
                <w:sz w:val="24"/>
              </w:rPr>
              <w:t>450</w:t>
            </w:r>
            <w:r>
              <w:rPr>
                <w:rFonts w:hint="eastAsia" w:ascii="宋体" w:hAnsi="宋体" w:eastAsia="宋体" w:cs="仿宋"/>
                <w:kern w:val="0"/>
                <w:sz w:val="24"/>
                <w:lang w:bidi="ar"/>
              </w:rPr>
              <w:t>。配置入侵防御、防病毒、应用识别及Web应用防护模块，3年对应功能模块规则库升级服务。产品必须是专业下一代防火墙设备，非板卡式防火墙或 UTM 设备。</w:t>
            </w:r>
          </w:p>
        </w:tc>
      </w:tr>
      <w:tr w14:paraId="3179A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4AB71B77">
            <w:pPr>
              <w:spacing w:line="360" w:lineRule="auto"/>
              <w:contextualSpacing/>
              <w:jc w:val="center"/>
              <w:rPr>
                <w:rFonts w:ascii="宋体" w:hAnsi="宋体" w:eastAsia="宋体" w:cs="仿宋"/>
                <w:sz w:val="24"/>
              </w:rPr>
            </w:pPr>
            <w:r>
              <w:rPr>
                <w:rFonts w:hint="eastAsia" w:ascii="宋体" w:hAnsi="宋体" w:eastAsia="宋体" w:cs="仿宋"/>
                <w:sz w:val="24"/>
              </w:rPr>
              <w:t>2</w:t>
            </w:r>
          </w:p>
        </w:tc>
        <w:tc>
          <w:tcPr>
            <w:tcW w:w="1134" w:type="dxa"/>
            <w:vAlign w:val="center"/>
          </w:tcPr>
          <w:p w14:paraId="6DA581AA">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部署方式</w:t>
            </w:r>
          </w:p>
        </w:tc>
        <w:tc>
          <w:tcPr>
            <w:tcW w:w="6379" w:type="dxa"/>
            <w:vAlign w:val="center"/>
          </w:tcPr>
          <w:p w14:paraId="016C4402">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产品支持路由模式、透明模式、虚拟网线模式、旁路镜像模式等多种部署方式。</w:t>
            </w:r>
          </w:p>
        </w:tc>
      </w:tr>
      <w:tr w14:paraId="61E1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240BCBB0">
            <w:pPr>
              <w:spacing w:line="360" w:lineRule="auto"/>
              <w:contextualSpacing/>
              <w:jc w:val="center"/>
              <w:rPr>
                <w:rFonts w:ascii="宋体" w:hAnsi="宋体" w:eastAsia="宋体" w:cs="仿宋"/>
                <w:sz w:val="24"/>
              </w:rPr>
            </w:pPr>
            <w:r>
              <w:rPr>
                <w:rFonts w:hint="eastAsia" w:ascii="宋体" w:hAnsi="宋体" w:eastAsia="宋体" w:cs="仿宋"/>
                <w:sz w:val="24"/>
              </w:rPr>
              <w:t>3</w:t>
            </w:r>
          </w:p>
        </w:tc>
        <w:tc>
          <w:tcPr>
            <w:tcW w:w="1134" w:type="dxa"/>
            <w:vAlign w:val="center"/>
          </w:tcPr>
          <w:p w14:paraId="7391E69B">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IPv6支持</w:t>
            </w:r>
          </w:p>
        </w:tc>
        <w:tc>
          <w:tcPr>
            <w:tcW w:w="6379" w:type="dxa"/>
            <w:vAlign w:val="center"/>
          </w:tcPr>
          <w:p w14:paraId="3F48AB54">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产品支持IPv4/IPv6双栈工作模式，以适应IPv6发展趋势。</w:t>
            </w:r>
          </w:p>
        </w:tc>
      </w:tr>
      <w:tr w14:paraId="4EC1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229F0641">
            <w:pPr>
              <w:spacing w:line="360" w:lineRule="auto"/>
              <w:contextualSpacing/>
              <w:jc w:val="center"/>
              <w:rPr>
                <w:rFonts w:ascii="宋体" w:hAnsi="宋体" w:eastAsia="宋体" w:cs="仿宋"/>
                <w:sz w:val="24"/>
              </w:rPr>
            </w:pPr>
            <w:r>
              <w:rPr>
                <w:rFonts w:hint="eastAsia" w:ascii="宋体" w:hAnsi="宋体" w:eastAsia="宋体" w:cs="仿宋"/>
                <w:sz w:val="24"/>
              </w:rPr>
              <w:t>4</w:t>
            </w:r>
          </w:p>
        </w:tc>
        <w:tc>
          <w:tcPr>
            <w:tcW w:w="1134" w:type="dxa"/>
            <w:vAlign w:val="center"/>
          </w:tcPr>
          <w:p w14:paraId="49BFAC20">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访问控制策略</w:t>
            </w:r>
          </w:p>
        </w:tc>
        <w:tc>
          <w:tcPr>
            <w:tcW w:w="6379" w:type="dxa"/>
            <w:vAlign w:val="center"/>
          </w:tcPr>
          <w:p w14:paraId="593B3086">
            <w:pPr>
              <w:widowControl/>
              <w:spacing w:line="360" w:lineRule="auto"/>
              <w:textAlignment w:val="center"/>
              <w:rPr>
                <w:rFonts w:ascii="宋体" w:hAnsi="宋体" w:eastAsia="宋体" w:cs="仿宋"/>
                <w:sz w:val="24"/>
              </w:rPr>
            </w:pPr>
            <w:r>
              <w:rPr>
                <w:rFonts w:hint="eastAsia" w:ascii="宋体" w:hAnsi="宋体" w:eastAsia="宋体" w:cs="仿宋"/>
                <w:kern w:val="0"/>
                <w:sz w:val="24"/>
                <w:lang w:bidi="ar"/>
              </w:rPr>
              <w:t>产品支持基于网络区域、网络对象、MAC地址、服务、应用、域名等维度进行访问控制策略设置。</w:t>
            </w:r>
          </w:p>
        </w:tc>
      </w:tr>
      <w:tr w14:paraId="33DC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6D08D254">
            <w:pPr>
              <w:spacing w:line="360" w:lineRule="auto"/>
              <w:contextualSpacing/>
              <w:jc w:val="center"/>
              <w:rPr>
                <w:rFonts w:ascii="宋体" w:hAnsi="宋体" w:eastAsia="宋体" w:cs="仿宋"/>
                <w:sz w:val="24"/>
              </w:rPr>
            </w:pPr>
            <w:r>
              <w:rPr>
                <w:rFonts w:hint="eastAsia" w:ascii="宋体" w:hAnsi="宋体" w:eastAsia="宋体" w:cs="仿宋"/>
                <w:sz w:val="24"/>
              </w:rPr>
              <w:t>5</w:t>
            </w:r>
          </w:p>
        </w:tc>
        <w:tc>
          <w:tcPr>
            <w:tcW w:w="1134" w:type="dxa"/>
            <w:vAlign w:val="center"/>
          </w:tcPr>
          <w:p w14:paraId="0679D3AF">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策略分析</w:t>
            </w:r>
          </w:p>
        </w:tc>
        <w:tc>
          <w:tcPr>
            <w:tcW w:w="6379" w:type="dxa"/>
            <w:vAlign w:val="center"/>
          </w:tcPr>
          <w:p w14:paraId="0ABA9B19">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支持安全策略有效性分析功能，分析内容至少包括策略冗余分析、策略匹配分析、风险端口风险等内容，提供安全策略优化建议。</w:t>
            </w:r>
          </w:p>
        </w:tc>
      </w:tr>
      <w:tr w14:paraId="5433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362E45CE">
            <w:pPr>
              <w:spacing w:line="360" w:lineRule="auto"/>
              <w:contextualSpacing/>
              <w:jc w:val="center"/>
              <w:rPr>
                <w:rFonts w:ascii="宋体" w:hAnsi="宋体" w:eastAsia="宋体" w:cs="仿宋"/>
                <w:sz w:val="24"/>
              </w:rPr>
            </w:pPr>
            <w:r>
              <w:rPr>
                <w:rFonts w:hint="eastAsia" w:ascii="宋体" w:hAnsi="宋体" w:eastAsia="宋体" w:cs="仿宋"/>
                <w:sz w:val="24"/>
              </w:rPr>
              <w:t>6</w:t>
            </w:r>
          </w:p>
        </w:tc>
        <w:tc>
          <w:tcPr>
            <w:tcW w:w="1134" w:type="dxa"/>
            <w:vAlign w:val="center"/>
          </w:tcPr>
          <w:p w14:paraId="2838BAEA">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应用识别</w:t>
            </w:r>
          </w:p>
        </w:tc>
        <w:tc>
          <w:tcPr>
            <w:tcW w:w="6379" w:type="dxa"/>
            <w:vAlign w:val="center"/>
          </w:tcPr>
          <w:p w14:paraId="23677D00">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产品支持对不少于9000种应用的识别和控制，应用类型包括游戏、购物、图书百科、工作招聘、P2P下载、聊天工具、旅游出行、股票软件等类型应用进行检测与控制。</w:t>
            </w:r>
          </w:p>
        </w:tc>
      </w:tr>
      <w:tr w14:paraId="2924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48B59C09">
            <w:pPr>
              <w:spacing w:line="360" w:lineRule="auto"/>
              <w:contextualSpacing/>
              <w:jc w:val="center"/>
              <w:rPr>
                <w:rFonts w:ascii="宋体" w:hAnsi="宋体" w:eastAsia="宋体" w:cs="仿宋"/>
                <w:sz w:val="24"/>
              </w:rPr>
            </w:pPr>
            <w:r>
              <w:rPr>
                <w:rFonts w:hint="eastAsia" w:ascii="宋体" w:hAnsi="宋体" w:eastAsia="宋体" w:cs="仿宋"/>
                <w:sz w:val="24"/>
              </w:rPr>
              <w:t>7</w:t>
            </w:r>
          </w:p>
        </w:tc>
        <w:tc>
          <w:tcPr>
            <w:tcW w:w="1134" w:type="dxa"/>
            <w:vAlign w:val="center"/>
          </w:tcPr>
          <w:p w14:paraId="7A2FD43E">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僵尸主机检测</w:t>
            </w:r>
          </w:p>
        </w:tc>
        <w:tc>
          <w:tcPr>
            <w:tcW w:w="6379" w:type="dxa"/>
            <w:vAlign w:val="center"/>
          </w:tcPr>
          <w:p w14:paraId="17EE3999">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支持僵尸主机检测功能，内置僵尸网络特征库超过128万种，可识别主机的异常外联行为。</w:t>
            </w:r>
          </w:p>
        </w:tc>
      </w:tr>
      <w:tr w14:paraId="0935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7547E99D">
            <w:pPr>
              <w:spacing w:line="360" w:lineRule="auto"/>
              <w:contextualSpacing/>
              <w:jc w:val="center"/>
              <w:rPr>
                <w:rFonts w:ascii="宋体" w:hAnsi="宋体" w:eastAsia="宋体" w:cs="仿宋"/>
                <w:sz w:val="24"/>
              </w:rPr>
            </w:pPr>
            <w:r>
              <w:rPr>
                <w:rFonts w:hint="eastAsia" w:ascii="宋体" w:hAnsi="宋体" w:eastAsia="宋体" w:cs="仿宋"/>
                <w:sz w:val="24"/>
              </w:rPr>
              <w:t>8</w:t>
            </w:r>
          </w:p>
        </w:tc>
        <w:tc>
          <w:tcPr>
            <w:tcW w:w="1134" w:type="dxa"/>
            <w:vAlign w:val="center"/>
          </w:tcPr>
          <w:p w14:paraId="62DA25F1">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防勒索</w:t>
            </w:r>
          </w:p>
        </w:tc>
        <w:tc>
          <w:tcPr>
            <w:tcW w:w="6379" w:type="dxa"/>
            <w:vAlign w:val="center"/>
          </w:tcPr>
          <w:p w14:paraId="65EE7CC5">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支持独立的勒索病毒防护，支持进行勒索风险自动化评估，并依据评估结果自动生成防护策略。</w:t>
            </w:r>
          </w:p>
        </w:tc>
      </w:tr>
      <w:tr w14:paraId="145B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6282D9A6">
            <w:pPr>
              <w:spacing w:line="360" w:lineRule="auto"/>
              <w:contextualSpacing/>
              <w:jc w:val="center"/>
              <w:rPr>
                <w:rFonts w:ascii="宋体" w:hAnsi="宋体" w:eastAsia="宋体" w:cs="仿宋"/>
                <w:sz w:val="24"/>
              </w:rPr>
            </w:pPr>
            <w:r>
              <w:rPr>
                <w:rFonts w:hint="eastAsia" w:ascii="宋体" w:hAnsi="宋体" w:eastAsia="宋体" w:cs="仿宋"/>
                <w:sz w:val="24"/>
              </w:rPr>
              <w:t>9</w:t>
            </w:r>
          </w:p>
        </w:tc>
        <w:tc>
          <w:tcPr>
            <w:tcW w:w="1134" w:type="dxa"/>
            <w:vAlign w:val="center"/>
          </w:tcPr>
          <w:p w14:paraId="50E49CB4">
            <w:pPr>
              <w:widowControl/>
              <w:spacing w:line="360" w:lineRule="auto"/>
              <w:jc w:val="center"/>
              <w:textAlignment w:val="center"/>
              <w:rPr>
                <w:rFonts w:ascii="宋体" w:hAnsi="宋体" w:eastAsia="宋体" w:cs="仿宋"/>
                <w:sz w:val="24"/>
              </w:rPr>
            </w:pPr>
            <w:r>
              <w:rPr>
                <w:rFonts w:hint="eastAsia" w:ascii="宋体" w:hAnsi="宋体" w:eastAsia="宋体" w:cs="仿宋"/>
                <w:sz w:val="24"/>
              </w:rPr>
              <w:t>链路状态检测</w:t>
            </w:r>
          </w:p>
        </w:tc>
        <w:tc>
          <w:tcPr>
            <w:tcW w:w="6379" w:type="dxa"/>
            <w:vAlign w:val="center"/>
          </w:tcPr>
          <w:p w14:paraId="6D5C98B4">
            <w:pPr>
              <w:widowControl/>
              <w:spacing w:line="360" w:lineRule="auto"/>
              <w:textAlignment w:val="center"/>
              <w:rPr>
                <w:rFonts w:ascii="宋体" w:hAnsi="宋体" w:eastAsia="宋体" w:cs="仿宋"/>
                <w:bCs/>
                <w:sz w:val="24"/>
              </w:rPr>
            </w:pPr>
            <w:r>
              <w:rPr>
                <w:rFonts w:hint="eastAsia" w:ascii="宋体" w:hAnsi="宋体" w:eastAsia="宋体" w:cs="仿宋"/>
                <w:bCs/>
                <w:sz w:val="24"/>
              </w:rPr>
              <w:t>产品支持链路连通性检查功能，支持基于3种以上协议对链路连通性进行探测，探测协议至少包括DNS解析、ARP探测、PING和BFD等方式。</w:t>
            </w:r>
          </w:p>
        </w:tc>
      </w:tr>
      <w:tr w14:paraId="2657E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06ECA407">
            <w:pPr>
              <w:spacing w:line="360" w:lineRule="auto"/>
              <w:contextualSpacing/>
              <w:jc w:val="center"/>
              <w:rPr>
                <w:rFonts w:ascii="宋体" w:hAnsi="宋体" w:eastAsia="宋体" w:cs="仿宋"/>
                <w:sz w:val="24"/>
              </w:rPr>
            </w:pPr>
            <w:r>
              <w:rPr>
                <w:rFonts w:hint="eastAsia" w:ascii="宋体" w:hAnsi="宋体" w:eastAsia="宋体" w:cs="仿宋"/>
                <w:sz w:val="24"/>
              </w:rPr>
              <w:t>10</w:t>
            </w:r>
          </w:p>
        </w:tc>
        <w:tc>
          <w:tcPr>
            <w:tcW w:w="1134" w:type="dxa"/>
            <w:vAlign w:val="center"/>
          </w:tcPr>
          <w:p w14:paraId="3F5D54B2">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账号安全</w:t>
            </w:r>
          </w:p>
        </w:tc>
        <w:tc>
          <w:tcPr>
            <w:tcW w:w="6379" w:type="dxa"/>
            <w:vAlign w:val="center"/>
          </w:tcPr>
          <w:p w14:paraId="7A86F452">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产品支持独立的账号安全防护模块，具备事前账号脆弱性、事中账号爆破、事后账号失陷的全生命周期安全防护。</w:t>
            </w:r>
          </w:p>
        </w:tc>
      </w:tr>
    </w:tbl>
    <w:p w14:paraId="28A01885">
      <w:pPr>
        <w:snapToGrid w:val="0"/>
        <w:spacing w:line="360" w:lineRule="auto"/>
        <w:outlineLvl w:val="1"/>
        <w:rPr>
          <w:rFonts w:ascii="宋体" w:hAnsi="宋体" w:eastAsia="宋体" w:cs="仿宋"/>
          <w:b/>
          <w:bCs/>
          <w:sz w:val="24"/>
        </w:rPr>
      </w:pPr>
    </w:p>
    <w:p w14:paraId="102ECC69">
      <w:pPr>
        <w:snapToGrid w:val="0"/>
        <w:spacing w:line="360" w:lineRule="auto"/>
        <w:outlineLvl w:val="1"/>
        <w:rPr>
          <w:rFonts w:ascii="宋体" w:hAnsi="宋体" w:eastAsia="宋体" w:cs="仿宋"/>
          <w:b/>
          <w:bCs/>
          <w:sz w:val="24"/>
        </w:rPr>
      </w:pPr>
      <w:r>
        <w:rPr>
          <w:rFonts w:hint="eastAsia" w:ascii="宋体" w:hAnsi="宋体" w:eastAsia="宋体" w:cs="仿宋"/>
          <w:b/>
          <w:bCs/>
          <w:sz w:val="24"/>
        </w:rPr>
        <w:t>2、1套端点安全软件</w:t>
      </w:r>
    </w:p>
    <w:tbl>
      <w:tblPr>
        <w:tblStyle w:val="2"/>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128"/>
        <w:gridCol w:w="6429"/>
      </w:tblGrid>
      <w:tr w14:paraId="35558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739" w:type="dxa"/>
            <w:vAlign w:val="center"/>
          </w:tcPr>
          <w:p w14:paraId="6E64A0BF">
            <w:pPr>
              <w:spacing w:line="360" w:lineRule="auto"/>
              <w:jc w:val="center"/>
              <w:rPr>
                <w:rFonts w:ascii="宋体" w:hAnsi="宋体" w:eastAsia="宋体" w:cs="仿宋"/>
                <w:b/>
                <w:sz w:val="24"/>
              </w:rPr>
            </w:pPr>
            <w:r>
              <w:rPr>
                <w:rFonts w:hint="eastAsia" w:ascii="宋体" w:hAnsi="宋体" w:eastAsia="宋体" w:cs="仿宋"/>
                <w:b/>
                <w:sz w:val="24"/>
              </w:rPr>
              <w:t>序号</w:t>
            </w:r>
          </w:p>
        </w:tc>
        <w:tc>
          <w:tcPr>
            <w:tcW w:w="1128" w:type="dxa"/>
            <w:vAlign w:val="center"/>
          </w:tcPr>
          <w:p w14:paraId="2577BFF7">
            <w:pPr>
              <w:spacing w:line="360" w:lineRule="auto"/>
              <w:jc w:val="center"/>
              <w:rPr>
                <w:rFonts w:ascii="宋体" w:hAnsi="宋体" w:eastAsia="宋体" w:cs="仿宋"/>
                <w:sz w:val="24"/>
              </w:rPr>
            </w:pPr>
            <w:r>
              <w:rPr>
                <w:rFonts w:hint="eastAsia" w:ascii="宋体" w:hAnsi="宋体" w:eastAsia="宋体" w:cs="仿宋"/>
                <w:b/>
                <w:sz w:val="24"/>
              </w:rPr>
              <w:t>指标项</w:t>
            </w:r>
          </w:p>
        </w:tc>
        <w:tc>
          <w:tcPr>
            <w:tcW w:w="6429" w:type="dxa"/>
            <w:vAlign w:val="center"/>
          </w:tcPr>
          <w:p w14:paraId="7E0C34E1">
            <w:pPr>
              <w:spacing w:line="360" w:lineRule="auto"/>
              <w:jc w:val="center"/>
              <w:rPr>
                <w:rFonts w:ascii="宋体" w:hAnsi="宋体" w:eastAsia="宋体" w:cs="仿宋"/>
                <w:sz w:val="24"/>
              </w:rPr>
            </w:pPr>
            <w:r>
              <w:rPr>
                <w:rFonts w:hint="eastAsia" w:ascii="宋体" w:hAnsi="宋体" w:eastAsia="宋体" w:cs="仿宋"/>
                <w:b/>
                <w:sz w:val="24"/>
              </w:rPr>
              <w:t>指标要求</w:t>
            </w:r>
          </w:p>
        </w:tc>
      </w:tr>
      <w:tr w14:paraId="650A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739" w:type="dxa"/>
            <w:vAlign w:val="center"/>
          </w:tcPr>
          <w:p w14:paraId="2D248291">
            <w:pPr>
              <w:spacing w:line="360" w:lineRule="auto"/>
              <w:contextualSpacing/>
              <w:jc w:val="center"/>
              <w:rPr>
                <w:rFonts w:ascii="宋体" w:hAnsi="宋体" w:eastAsia="宋体" w:cs="仿宋"/>
                <w:sz w:val="24"/>
              </w:rPr>
            </w:pPr>
            <w:r>
              <w:rPr>
                <w:rFonts w:hint="eastAsia" w:ascii="宋体" w:hAnsi="宋体" w:eastAsia="宋体" w:cs="仿宋"/>
                <w:sz w:val="24"/>
              </w:rPr>
              <w:t>1</w:t>
            </w:r>
          </w:p>
        </w:tc>
        <w:tc>
          <w:tcPr>
            <w:tcW w:w="1128" w:type="dxa"/>
            <w:vAlign w:val="center"/>
          </w:tcPr>
          <w:p w14:paraId="6CB1AED1">
            <w:pPr>
              <w:spacing w:line="360" w:lineRule="auto"/>
              <w:jc w:val="center"/>
              <w:rPr>
                <w:rFonts w:ascii="宋体" w:hAnsi="宋体" w:eastAsia="宋体" w:cs="仿宋"/>
                <w:sz w:val="24"/>
              </w:rPr>
            </w:pPr>
            <w:r>
              <w:rPr>
                <w:rFonts w:hint="eastAsia" w:ascii="宋体" w:hAnsi="宋体" w:eastAsia="宋体" w:cs="仿宋"/>
                <w:sz w:val="24"/>
              </w:rPr>
              <w:t>部署要求</w:t>
            </w:r>
          </w:p>
        </w:tc>
        <w:tc>
          <w:tcPr>
            <w:tcW w:w="6429" w:type="dxa"/>
            <w:vAlign w:val="center"/>
          </w:tcPr>
          <w:p w14:paraId="778C8654">
            <w:pPr>
              <w:spacing w:line="360" w:lineRule="auto"/>
              <w:rPr>
                <w:rFonts w:ascii="宋体" w:hAnsi="宋体" w:eastAsia="宋体" w:cs="仿宋"/>
                <w:sz w:val="24"/>
              </w:rPr>
            </w:pPr>
            <w:r>
              <w:rPr>
                <w:rFonts w:hint="eastAsia" w:ascii="宋体" w:hAnsi="宋体" w:eastAsia="宋体" w:cs="仿宋"/>
                <w:sz w:val="24"/>
              </w:rPr>
              <w:t>产品为纯软件交付，包含1套管理控制中心软件，不少于90点PC端及</w:t>
            </w:r>
            <w:r>
              <w:rPr>
                <w:rFonts w:hint="eastAsia" w:ascii="宋体" w:hAnsi="宋体" w:eastAsia="宋体" w:cs="仿宋"/>
                <w:sz w:val="24"/>
                <w:lang w:val="en-US" w:eastAsia="zh-CN"/>
              </w:rPr>
              <w:t>2</w:t>
            </w:r>
            <w:bookmarkStart w:id="0" w:name="_GoBack"/>
            <w:bookmarkEnd w:id="0"/>
            <w:r>
              <w:rPr>
                <w:rFonts w:hint="eastAsia" w:ascii="宋体" w:hAnsi="宋体" w:eastAsia="宋体" w:cs="仿宋"/>
                <w:sz w:val="24"/>
              </w:rPr>
              <w:t>0点服务器端客户端软件授权，其中管理控制中心可云化部署，客户端授权需兼容国产化及非国产化终端。</w:t>
            </w:r>
          </w:p>
        </w:tc>
      </w:tr>
      <w:tr w14:paraId="6633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52B3BE5A">
            <w:pPr>
              <w:spacing w:line="360" w:lineRule="auto"/>
              <w:contextualSpacing/>
              <w:jc w:val="center"/>
              <w:rPr>
                <w:rFonts w:ascii="宋体" w:hAnsi="宋体" w:eastAsia="宋体" w:cs="仿宋"/>
                <w:sz w:val="24"/>
              </w:rPr>
            </w:pPr>
            <w:r>
              <w:rPr>
                <w:rFonts w:hint="eastAsia" w:ascii="宋体" w:hAnsi="宋体" w:eastAsia="宋体" w:cs="仿宋"/>
                <w:sz w:val="24"/>
              </w:rPr>
              <w:t>2</w:t>
            </w:r>
          </w:p>
        </w:tc>
        <w:tc>
          <w:tcPr>
            <w:tcW w:w="1128" w:type="dxa"/>
            <w:vAlign w:val="center"/>
          </w:tcPr>
          <w:p w14:paraId="549A7124">
            <w:pPr>
              <w:spacing w:line="360" w:lineRule="auto"/>
              <w:jc w:val="center"/>
              <w:rPr>
                <w:rFonts w:ascii="宋体" w:hAnsi="宋体" w:eastAsia="宋体" w:cs="仿宋"/>
                <w:sz w:val="24"/>
              </w:rPr>
            </w:pPr>
            <w:r>
              <w:rPr>
                <w:rFonts w:hint="eastAsia" w:ascii="宋体" w:hAnsi="宋体" w:eastAsia="宋体" w:cs="仿宋"/>
                <w:sz w:val="24"/>
              </w:rPr>
              <w:t>统一管理</w:t>
            </w:r>
          </w:p>
        </w:tc>
        <w:tc>
          <w:tcPr>
            <w:tcW w:w="6429" w:type="dxa"/>
            <w:vAlign w:val="center"/>
          </w:tcPr>
          <w:p w14:paraId="43F341E0">
            <w:pPr>
              <w:spacing w:line="360" w:lineRule="auto"/>
              <w:rPr>
                <w:rFonts w:ascii="宋体" w:hAnsi="宋体" w:eastAsia="宋体" w:cs="仿宋"/>
                <w:sz w:val="24"/>
              </w:rPr>
            </w:pPr>
            <w:r>
              <w:rPr>
                <w:rFonts w:hint="eastAsia" w:ascii="宋体" w:hAnsi="宋体" w:eastAsia="宋体" w:cs="仿宋"/>
                <w:sz w:val="24"/>
              </w:rPr>
              <w:t>采用B/S架构的管理控制中心，具备终端安全可视，终端统一管理，统一威胁处置，统一漏洞修复，威胁响应处置，日志记录与查询等功能。</w:t>
            </w:r>
          </w:p>
        </w:tc>
      </w:tr>
      <w:tr w14:paraId="508C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51613A09">
            <w:pPr>
              <w:spacing w:line="360" w:lineRule="auto"/>
              <w:contextualSpacing/>
              <w:jc w:val="center"/>
              <w:rPr>
                <w:rFonts w:ascii="宋体" w:hAnsi="宋体" w:eastAsia="宋体" w:cs="仿宋"/>
                <w:sz w:val="24"/>
              </w:rPr>
            </w:pPr>
            <w:r>
              <w:rPr>
                <w:rFonts w:hint="eastAsia" w:ascii="宋体" w:hAnsi="宋体" w:eastAsia="宋体" w:cs="仿宋"/>
                <w:sz w:val="24"/>
              </w:rPr>
              <w:t>3</w:t>
            </w:r>
          </w:p>
        </w:tc>
        <w:tc>
          <w:tcPr>
            <w:tcW w:w="1128" w:type="dxa"/>
            <w:vAlign w:val="center"/>
          </w:tcPr>
          <w:p w14:paraId="19FC5406">
            <w:pPr>
              <w:spacing w:line="360" w:lineRule="auto"/>
              <w:jc w:val="center"/>
              <w:rPr>
                <w:rFonts w:ascii="宋体" w:hAnsi="宋体" w:eastAsia="宋体" w:cs="仿宋"/>
                <w:sz w:val="24"/>
              </w:rPr>
            </w:pPr>
            <w:r>
              <w:rPr>
                <w:rFonts w:hint="eastAsia" w:ascii="宋体" w:hAnsi="宋体" w:eastAsia="宋体" w:cs="仿宋"/>
                <w:sz w:val="24"/>
              </w:rPr>
              <w:t>勒索防护</w:t>
            </w:r>
          </w:p>
        </w:tc>
        <w:tc>
          <w:tcPr>
            <w:tcW w:w="6429" w:type="dxa"/>
            <w:vAlign w:val="center"/>
          </w:tcPr>
          <w:p w14:paraId="00301B1D">
            <w:pPr>
              <w:spacing w:line="360" w:lineRule="auto"/>
              <w:rPr>
                <w:rFonts w:ascii="宋体" w:hAnsi="宋体" w:eastAsia="宋体" w:cs="仿宋"/>
                <w:sz w:val="24"/>
              </w:rPr>
            </w:pPr>
            <w:r>
              <w:rPr>
                <w:rFonts w:hint="eastAsia" w:ascii="宋体" w:hAnsi="宋体" w:eastAsia="宋体" w:cs="仿宋"/>
                <w:sz w:val="24"/>
              </w:rPr>
              <w:t>提供勒索病毒整体防护体系入口，直观展示最近七天勒索病毒防护效果，包括已处置的恶意文件数量、已拦截可疑行为次数、已阻止的未知进程操作次数、已阻止的暴力破解攻击次数。</w:t>
            </w:r>
          </w:p>
        </w:tc>
      </w:tr>
      <w:tr w14:paraId="4719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447ECD80">
            <w:pPr>
              <w:spacing w:line="360" w:lineRule="auto"/>
              <w:contextualSpacing/>
              <w:jc w:val="center"/>
              <w:rPr>
                <w:rFonts w:ascii="宋体" w:hAnsi="宋体" w:eastAsia="宋体" w:cs="仿宋"/>
                <w:sz w:val="24"/>
              </w:rPr>
            </w:pPr>
            <w:r>
              <w:rPr>
                <w:rFonts w:hint="eastAsia" w:ascii="宋体" w:hAnsi="宋体" w:eastAsia="宋体" w:cs="仿宋"/>
                <w:sz w:val="24"/>
              </w:rPr>
              <w:t>4</w:t>
            </w:r>
          </w:p>
        </w:tc>
        <w:tc>
          <w:tcPr>
            <w:tcW w:w="1128" w:type="dxa"/>
            <w:vAlign w:val="center"/>
          </w:tcPr>
          <w:p w14:paraId="4F9E775F">
            <w:pPr>
              <w:spacing w:line="360" w:lineRule="auto"/>
              <w:jc w:val="center"/>
              <w:rPr>
                <w:rFonts w:ascii="宋体" w:hAnsi="宋体" w:eastAsia="宋体" w:cs="仿宋"/>
                <w:sz w:val="24"/>
              </w:rPr>
            </w:pPr>
            <w:r>
              <w:rPr>
                <w:rFonts w:hint="eastAsia" w:ascii="宋体" w:hAnsi="宋体" w:eastAsia="宋体" w:cs="仿宋"/>
                <w:sz w:val="24"/>
              </w:rPr>
              <w:t>资产管理</w:t>
            </w:r>
          </w:p>
        </w:tc>
        <w:tc>
          <w:tcPr>
            <w:tcW w:w="6429" w:type="dxa"/>
            <w:vAlign w:val="center"/>
          </w:tcPr>
          <w:p w14:paraId="0D56697B">
            <w:pPr>
              <w:spacing w:line="360" w:lineRule="auto"/>
              <w:rPr>
                <w:rFonts w:ascii="宋体" w:hAnsi="宋体" w:eastAsia="宋体" w:cs="仿宋"/>
                <w:sz w:val="24"/>
              </w:rPr>
            </w:pPr>
            <w:r>
              <w:rPr>
                <w:rFonts w:hint="eastAsia" w:ascii="宋体" w:hAnsi="宋体" w:eastAsia="宋体" w:cs="仿宋"/>
                <w:sz w:val="24"/>
              </w:rPr>
              <w:t>支持终端自动分组管理，新接入的终端可以根据网段自动分配到对应的分组。</w:t>
            </w:r>
          </w:p>
        </w:tc>
      </w:tr>
      <w:tr w14:paraId="4FCF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31610F55">
            <w:pPr>
              <w:spacing w:line="360" w:lineRule="auto"/>
              <w:contextualSpacing/>
              <w:jc w:val="center"/>
              <w:rPr>
                <w:rFonts w:ascii="宋体" w:hAnsi="宋体" w:eastAsia="宋体" w:cs="仿宋"/>
                <w:sz w:val="24"/>
              </w:rPr>
            </w:pPr>
            <w:r>
              <w:rPr>
                <w:rFonts w:hint="eastAsia" w:ascii="宋体" w:hAnsi="宋体" w:eastAsia="宋体" w:cs="仿宋"/>
                <w:sz w:val="24"/>
              </w:rPr>
              <w:t>5</w:t>
            </w:r>
          </w:p>
        </w:tc>
        <w:tc>
          <w:tcPr>
            <w:tcW w:w="1128" w:type="dxa"/>
            <w:vAlign w:val="center"/>
          </w:tcPr>
          <w:p w14:paraId="739603A5">
            <w:pPr>
              <w:spacing w:line="360" w:lineRule="auto"/>
              <w:jc w:val="center"/>
              <w:rPr>
                <w:rFonts w:ascii="宋体" w:hAnsi="宋体" w:eastAsia="宋体" w:cs="仿宋"/>
                <w:sz w:val="24"/>
              </w:rPr>
            </w:pPr>
            <w:r>
              <w:rPr>
                <w:rFonts w:hint="eastAsia" w:ascii="宋体" w:hAnsi="宋体" w:eastAsia="宋体" w:cs="仿宋"/>
                <w:sz w:val="24"/>
              </w:rPr>
              <w:t>影子资产</w:t>
            </w:r>
          </w:p>
        </w:tc>
        <w:tc>
          <w:tcPr>
            <w:tcW w:w="6429" w:type="dxa"/>
            <w:vAlign w:val="center"/>
          </w:tcPr>
          <w:p w14:paraId="5D16D3FD">
            <w:pPr>
              <w:spacing w:line="360" w:lineRule="auto"/>
              <w:rPr>
                <w:rFonts w:ascii="宋体" w:hAnsi="宋体" w:eastAsia="宋体" w:cs="仿宋"/>
                <w:sz w:val="24"/>
              </w:rPr>
            </w:pPr>
            <w:r>
              <w:rPr>
                <w:rFonts w:hint="eastAsia" w:ascii="宋体" w:hAnsi="宋体" w:eastAsia="宋体" w:cs="仿宋"/>
                <w:sz w:val="24"/>
              </w:rPr>
              <w:t>支持按照扫描网段、扫描方式、扫描协议、扫描端口对终端进行扫描，及时发现尚未纳入管控的终端</w:t>
            </w:r>
          </w:p>
        </w:tc>
      </w:tr>
      <w:tr w14:paraId="1F07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6738ABA3">
            <w:pPr>
              <w:spacing w:line="360" w:lineRule="auto"/>
              <w:contextualSpacing/>
              <w:jc w:val="center"/>
              <w:rPr>
                <w:rFonts w:ascii="宋体" w:hAnsi="宋体" w:eastAsia="宋体" w:cs="仿宋"/>
                <w:sz w:val="24"/>
              </w:rPr>
            </w:pPr>
            <w:r>
              <w:rPr>
                <w:rFonts w:hint="eastAsia" w:ascii="宋体" w:hAnsi="宋体" w:eastAsia="宋体" w:cs="仿宋"/>
                <w:sz w:val="24"/>
              </w:rPr>
              <w:t>6</w:t>
            </w:r>
          </w:p>
        </w:tc>
        <w:tc>
          <w:tcPr>
            <w:tcW w:w="1128" w:type="dxa"/>
            <w:vAlign w:val="center"/>
          </w:tcPr>
          <w:p w14:paraId="041D8AEC">
            <w:pPr>
              <w:spacing w:line="360" w:lineRule="auto"/>
              <w:jc w:val="center"/>
              <w:rPr>
                <w:rFonts w:ascii="宋体" w:hAnsi="宋体" w:eastAsia="宋体" w:cs="仿宋"/>
                <w:sz w:val="24"/>
              </w:rPr>
            </w:pPr>
            <w:r>
              <w:rPr>
                <w:rFonts w:hint="eastAsia" w:ascii="宋体" w:hAnsi="宋体" w:eastAsia="宋体" w:cs="仿宋"/>
                <w:sz w:val="24"/>
              </w:rPr>
              <w:t>工具专防</w:t>
            </w:r>
          </w:p>
        </w:tc>
        <w:tc>
          <w:tcPr>
            <w:tcW w:w="6429" w:type="dxa"/>
            <w:vAlign w:val="center"/>
          </w:tcPr>
          <w:p w14:paraId="7C673920">
            <w:pPr>
              <w:spacing w:line="360" w:lineRule="auto"/>
              <w:rPr>
                <w:rFonts w:ascii="宋体" w:hAnsi="宋体" w:eastAsia="宋体" w:cs="仿宋"/>
                <w:sz w:val="24"/>
              </w:rPr>
            </w:pPr>
            <w:r>
              <w:rPr>
                <w:rFonts w:hint="eastAsia" w:ascii="宋体" w:hAnsi="宋体" w:eastAsia="宋体" w:cs="仿宋"/>
                <w:sz w:val="24"/>
              </w:rPr>
              <w:t>支持禁止黑客工具启动，包含：xuetr、ProcessHacker、PCHunter、Mimikatz等工具的自启动，可以防止黑客攻击。</w:t>
            </w:r>
          </w:p>
        </w:tc>
      </w:tr>
      <w:tr w14:paraId="3210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7EAF4DB5">
            <w:pPr>
              <w:spacing w:line="360" w:lineRule="auto"/>
              <w:contextualSpacing/>
              <w:jc w:val="center"/>
              <w:rPr>
                <w:rFonts w:ascii="宋体" w:hAnsi="宋体" w:eastAsia="宋体" w:cs="仿宋"/>
                <w:sz w:val="24"/>
              </w:rPr>
            </w:pPr>
            <w:r>
              <w:rPr>
                <w:rFonts w:hint="eastAsia" w:ascii="宋体" w:hAnsi="宋体" w:eastAsia="宋体" w:cs="仿宋"/>
                <w:sz w:val="24"/>
              </w:rPr>
              <w:t>7</w:t>
            </w:r>
          </w:p>
        </w:tc>
        <w:tc>
          <w:tcPr>
            <w:tcW w:w="1128" w:type="dxa"/>
            <w:vAlign w:val="center"/>
          </w:tcPr>
          <w:p w14:paraId="26450B8C">
            <w:pPr>
              <w:spacing w:line="360" w:lineRule="auto"/>
              <w:jc w:val="center"/>
              <w:rPr>
                <w:rFonts w:ascii="宋体" w:hAnsi="宋体" w:eastAsia="宋体" w:cs="仿宋"/>
                <w:sz w:val="24"/>
              </w:rPr>
            </w:pPr>
            <w:r>
              <w:rPr>
                <w:rFonts w:hint="eastAsia" w:ascii="宋体" w:hAnsi="宋体" w:eastAsia="宋体" w:cs="仿宋"/>
                <w:sz w:val="24"/>
              </w:rPr>
              <w:t>资产清点</w:t>
            </w:r>
          </w:p>
        </w:tc>
        <w:tc>
          <w:tcPr>
            <w:tcW w:w="6429" w:type="dxa"/>
            <w:vAlign w:val="center"/>
          </w:tcPr>
          <w:p w14:paraId="41D8B7D3">
            <w:pPr>
              <w:spacing w:line="360" w:lineRule="auto"/>
              <w:rPr>
                <w:rFonts w:ascii="宋体" w:hAnsi="宋体" w:eastAsia="宋体" w:cs="仿宋"/>
                <w:sz w:val="24"/>
              </w:rPr>
            </w:pPr>
            <w:r>
              <w:rPr>
                <w:rFonts w:hint="eastAsia" w:ascii="宋体" w:hAnsi="宋体" w:eastAsia="宋体" w:cs="仿宋"/>
                <w:sz w:val="24"/>
              </w:rPr>
              <w:t>支持全网视角的终端资产统一清点，便于帮助用户快速发现风险面。清点信息包括操作系统、应用软件、监听端口和终端账户，其中操作系统和监听端口支持从资产和终端两个视角进行统计和展示。</w:t>
            </w:r>
          </w:p>
        </w:tc>
      </w:tr>
      <w:tr w14:paraId="4137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602FB1F8">
            <w:pPr>
              <w:spacing w:line="360" w:lineRule="auto"/>
              <w:contextualSpacing/>
              <w:jc w:val="center"/>
              <w:rPr>
                <w:rFonts w:ascii="宋体" w:hAnsi="宋体" w:eastAsia="宋体" w:cs="仿宋"/>
                <w:sz w:val="24"/>
              </w:rPr>
            </w:pPr>
            <w:r>
              <w:rPr>
                <w:rFonts w:hint="eastAsia" w:ascii="宋体" w:hAnsi="宋体" w:eastAsia="宋体" w:cs="仿宋"/>
                <w:sz w:val="24"/>
              </w:rPr>
              <w:t>8</w:t>
            </w:r>
          </w:p>
        </w:tc>
        <w:tc>
          <w:tcPr>
            <w:tcW w:w="1128" w:type="dxa"/>
            <w:vAlign w:val="center"/>
          </w:tcPr>
          <w:p w14:paraId="20CB5B33">
            <w:pPr>
              <w:spacing w:line="360" w:lineRule="auto"/>
              <w:jc w:val="center"/>
              <w:rPr>
                <w:rFonts w:ascii="宋体" w:hAnsi="宋体" w:eastAsia="宋体" w:cs="仿宋"/>
                <w:sz w:val="24"/>
              </w:rPr>
            </w:pPr>
            <w:r>
              <w:rPr>
                <w:rFonts w:hint="eastAsia" w:ascii="宋体" w:hAnsi="宋体" w:eastAsia="宋体" w:cs="仿宋"/>
                <w:sz w:val="24"/>
              </w:rPr>
              <w:t>一体化策略</w:t>
            </w:r>
          </w:p>
        </w:tc>
        <w:tc>
          <w:tcPr>
            <w:tcW w:w="6429" w:type="dxa"/>
            <w:vAlign w:val="center"/>
          </w:tcPr>
          <w:p w14:paraId="347680C8">
            <w:pPr>
              <w:spacing w:line="360" w:lineRule="auto"/>
              <w:rPr>
                <w:rFonts w:ascii="宋体" w:hAnsi="宋体" w:eastAsia="宋体" w:cs="仿宋"/>
                <w:sz w:val="24"/>
              </w:rPr>
            </w:pPr>
            <w:r>
              <w:rPr>
                <w:rFonts w:hint="eastAsia" w:ascii="宋体" w:hAnsi="宋体" w:eastAsia="宋体" w:cs="仿宋"/>
                <w:sz w:val="24"/>
              </w:rPr>
              <w:t>支持安全策略一体化配置，通过单一策略即可实现不同安全功能的配置，包括：终端病毒查杀的文件扫描配置、文件实时监控的参数配置、WebShell检测和威胁处置方式、暴力破解的威胁处置方式和Windows白名单信任目录。</w:t>
            </w:r>
          </w:p>
        </w:tc>
      </w:tr>
      <w:tr w14:paraId="6FB5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7E34740B">
            <w:pPr>
              <w:spacing w:line="360" w:lineRule="auto"/>
              <w:contextualSpacing/>
              <w:jc w:val="center"/>
              <w:rPr>
                <w:rFonts w:ascii="宋体" w:hAnsi="宋体" w:eastAsia="宋体" w:cs="仿宋"/>
                <w:sz w:val="24"/>
              </w:rPr>
            </w:pPr>
            <w:r>
              <w:rPr>
                <w:rFonts w:hint="eastAsia" w:ascii="宋体" w:hAnsi="宋体" w:eastAsia="宋体" w:cs="仿宋"/>
                <w:sz w:val="24"/>
              </w:rPr>
              <w:t>9</w:t>
            </w:r>
          </w:p>
        </w:tc>
        <w:tc>
          <w:tcPr>
            <w:tcW w:w="1128" w:type="dxa"/>
            <w:vAlign w:val="center"/>
          </w:tcPr>
          <w:p w14:paraId="3D54CC5F">
            <w:pPr>
              <w:spacing w:line="360" w:lineRule="auto"/>
              <w:jc w:val="center"/>
              <w:rPr>
                <w:rFonts w:ascii="宋体" w:hAnsi="宋体" w:eastAsia="宋体" w:cs="仿宋"/>
                <w:sz w:val="24"/>
              </w:rPr>
            </w:pPr>
            <w:r>
              <w:rPr>
                <w:rFonts w:hint="eastAsia" w:ascii="宋体" w:hAnsi="宋体" w:eastAsia="宋体" w:cs="仿宋"/>
                <w:sz w:val="24"/>
              </w:rPr>
              <w:t>基线检查</w:t>
            </w:r>
          </w:p>
        </w:tc>
        <w:tc>
          <w:tcPr>
            <w:tcW w:w="6429" w:type="dxa"/>
            <w:vAlign w:val="center"/>
          </w:tcPr>
          <w:p w14:paraId="79313472">
            <w:pPr>
              <w:spacing w:line="360" w:lineRule="auto"/>
              <w:rPr>
                <w:rFonts w:ascii="宋体" w:hAnsi="宋体" w:eastAsia="宋体" w:cs="仿宋"/>
                <w:sz w:val="24"/>
              </w:rPr>
            </w:pPr>
            <w:r>
              <w:rPr>
                <w:rFonts w:hint="eastAsia" w:ascii="宋体" w:hAnsi="宋体" w:eastAsia="宋体" w:cs="仿宋"/>
                <w:sz w:val="24"/>
              </w:rPr>
              <w:t>支持一键式操作对指定Linux终端/终端组进行通用安全检查基线、等保二级基线、等保三级基线、CIS系统基线、CIS应用基线、以及基于以上基线规则原型的自定义基线的合规性检查，可视化展示终端的基线合规检查结果，并对不合规的检查项提供设置建议。</w:t>
            </w:r>
          </w:p>
        </w:tc>
      </w:tr>
      <w:tr w14:paraId="1D83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39" w:type="dxa"/>
            <w:vAlign w:val="center"/>
          </w:tcPr>
          <w:p w14:paraId="327B1C7A">
            <w:pPr>
              <w:spacing w:line="360" w:lineRule="auto"/>
              <w:contextualSpacing/>
              <w:jc w:val="center"/>
              <w:rPr>
                <w:rFonts w:ascii="宋体" w:hAnsi="宋体" w:eastAsia="宋体" w:cs="仿宋"/>
                <w:sz w:val="24"/>
              </w:rPr>
            </w:pPr>
            <w:r>
              <w:rPr>
                <w:rFonts w:hint="eastAsia" w:ascii="宋体" w:hAnsi="宋体" w:eastAsia="宋体" w:cs="仿宋"/>
                <w:sz w:val="24"/>
              </w:rPr>
              <w:t>10</w:t>
            </w:r>
          </w:p>
        </w:tc>
        <w:tc>
          <w:tcPr>
            <w:tcW w:w="1128" w:type="dxa"/>
            <w:vAlign w:val="center"/>
          </w:tcPr>
          <w:p w14:paraId="38004D1C">
            <w:pPr>
              <w:spacing w:line="360" w:lineRule="auto"/>
              <w:jc w:val="center"/>
              <w:rPr>
                <w:rFonts w:ascii="宋体" w:hAnsi="宋体" w:eastAsia="宋体" w:cs="仿宋"/>
                <w:sz w:val="24"/>
              </w:rPr>
            </w:pPr>
            <w:r>
              <w:rPr>
                <w:rFonts w:hint="eastAsia" w:ascii="宋体" w:hAnsi="宋体" w:eastAsia="宋体" w:cs="仿宋"/>
                <w:sz w:val="24"/>
              </w:rPr>
              <w:t>文件信誉</w:t>
            </w:r>
          </w:p>
        </w:tc>
        <w:tc>
          <w:tcPr>
            <w:tcW w:w="6429" w:type="dxa"/>
            <w:vAlign w:val="center"/>
          </w:tcPr>
          <w:p w14:paraId="7E9B0E60">
            <w:pPr>
              <w:spacing w:line="360" w:lineRule="auto"/>
              <w:rPr>
                <w:rFonts w:ascii="宋体" w:hAnsi="宋体" w:eastAsia="宋体" w:cs="仿宋"/>
                <w:sz w:val="24"/>
              </w:rPr>
            </w:pPr>
            <w:r>
              <w:rPr>
                <w:rFonts w:hint="eastAsia" w:ascii="宋体" w:hAnsi="宋体" w:eastAsia="宋体" w:cs="仿宋"/>
                <w:sz w:val="24"/>
              </w:rPr>
              <w:t>构建全网文件信誉库，当一台终端发现某一病毒文件，全网可进行感知并进行针对性查杀，支持处置病毒时选择是否在其它终端上同步处置。</w:t>
            </w:r>
          </w:p>
        </w:tc>
      </w:tr>
    </w:tbl>
    <w:p w14:paraId="5C4DBB29">
      <w:pPr>
        <w:numPr>
          <w:ilvl w:val="0"/>
          <w:numId w:val="1"/>
        </w:numPr>
        <w:snapToGrid w:val="0"/>
        <w:spacing w:line="360" w:lineRule="auto"/>
        <w:outlineLvl w:val="1"/>
        <w:rPr>
          <w:rFonts w:ascii="宋体" w:hAnsi="宋体" w:eastAsia="宋体" w:cs="仿宋"/>
          <w:b/>
          <w:bCs/>
          <w:sz w:val="24"/>
        </w:rPr>
      </w:pPr>
      <w:r>
        <w:rPr>
          <w:rFonts w:hint="eastAsia" w:ascii="宋体" w:hAnsi="宋体" w:eastAsia="宋体" w:cs="仿宋"/>
          <w:b/>
          <w:bCs/>
          <w:sz w:val="24"/>
        </w:rPr>
        <w:t>4套下一代防火墙（卫生服务站边界）</w:t>
      </w:r>
    </w:p>
    <w:tbl>
      <w:tblPr>
        <w:tblStyle w:val="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134"/>
        <w:gridCol w:w="6379"/>
      </w:tblGrid>
      <w:tr w14:paraId="52AB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704" w:type="dxa"/>
            <w:vAlign w:val="center"/>
          </w:tcPr>
          <w:p w14:paraId="2D1206FC">
            <w:pPr>
              <w:spacing w:line="360" w:lineRule="auto"/>
              <w:jc w:val="center"/>
              <w:rPr>
                <w:rFonts w:ascii="宋体" w:hAnsi="宋体" w:eastAsia="宋体" w:cs="仿宋"/>
                <w:b/>
                <w:sz w:val="24"/>
              </w:rPr>
            </w:pPr>
            <w:r>
              <w:rPr>
                <w:rFonts w:hint="eastAsia" w:ascii="宋体" w:hAnsi="宋体" w:eastAsia="宋体" w:cs="仿宋"/>
                <w:b/>
                <w:sz w:val="24"/>
              </w:rPr>
              <w:t>序号</w:t>
            </w:r>
          </w:p>
        </w:tc>
        <w:tc>
          <w:tcPr>
            <w:tcW w:w="1134" w:type="dxa"/>
            <w:vAlign w:val="center"/>
          </w:tcPr>
          <w:p w14:paraId="27A2CB63">
            <w:pPr>
              <w:spacing w:line="360" w:lineRule="auto"/>
              <w:jc w:val="center"/>
              <w:rPr>
                <w:rFonts w:ascii="宋体" w:hAnsi="宋体" w:eastAsia="宋体" w:cs="仿宋"/>
                <w:sz w:val="24"/>
              </w:rPr>
            </w:pPr>
            <w:r>
              <w:rPr>
                <w:rFonts w:hint="eastAsia" w:ascii="宋体" w:hAnsi="宋体" w:eastAsia="宋体" w:cs="仿宋"/>
                <w:b/>
                <w:sz w:val="24"/>
              </w:rPr>
              <w:t>指标项</w:t>
            </w:r>
          </w:p>
        </w:tc>
        <w:tc>
          <w:tcPr>
            <w:tcW w:w="6379" w:type="dxa"/>
            <w:vAlign w:val="center"/>
          </w:tcPr>
          <w:p w14:paraId="2B6166A3">
            <w:pPr>
              <w:spacing w:line="360" w:lineRule="auto"/>
              <w:jc w:val="center"/>
              <w:rPr>
                <w:rFonts w:ascii="宋体" w:hAnsi="宋体" w:eastAsia="宋体" w:cs="仿宋"/>
                <w:sz w:val="24"/>
              </w:rPr>
            </w:pPr>
            <w:r>
              <w:rPr>
                <w:rFonts w:hint="eastAsia" w:ascii="宋体" w:hAnsi="宋体" w:eastAsia="宋体" w:cs="仿宋"/>
                <w:b/>
                <w:sz w:val="24"/>
              </w:rPr>
              <w:t>指标要求</w:t>
            </w:r>
          </w:p>
        </w:tc>
      </w:tr>
      <w:tr w14:paraId="5E685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704" w:type="dxa"/>
            <w:vAlign w:val="center"/>
          </w:tcPr>
          <w:p w14:paraId="11D98C89">
            <w:pPr>
              <w:spacing w:line="360" w:lineRule="auto"/>
              <w:contextualSpacing/>
              <w:jc w:val="center"/>
              <w:rPr>
                <w:rFonts w:ascii="宋体" w:hAnsi="宋体" w:eastAsia="宋体" w:cs="仿宋"/>
                <w:sz w:val="24"/>
              </w:rPr>
            </w:pPr>
            <w:r>
              <w:rPr>
                <w:rFonts w:hint="eastAsia" w:ascii="宋体" w:hAnsi="宋体" w:eastAsia="宋体" w:cs="仿宋"/>
                <w:sz w:val="24"/>
              </w:rPr>
              <w:t>1</w:t>
            </w:r>
          </w:p>
        </w:tc>
        <w:tc>
          <w:tcPr>
            <w:tcW w:w="1134" w:type="dxa"/>
            <w:vAlign w:val="center"/>
          </w:tcPr>
          <w:p w14:paraId="61F12F85">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基本要求</w:t>
            </w:r>
          </w:p>
        </w:tc>
        <w:tc>
          <w:tcPr>
            <w:tcW w:w="6379" w:type="dxa"/>
            <w:vAlign w:val="center"/>
          </w:tcPr>
          <w:p w14:paraId="7CB8F3A7">
            <w:pPr>
              <w:widowControl/>
              <w:spacing w:line="360" w:lineRule="auto"/>
              <w:textAlignment w:val="center"/>
              <w:rPr>
                <w:rFonts w:ascii="宋体" w:hAnsi="宋体" w:eastAsia="宋体" w:cs="仿宋"/>
                <w:sz w:val="24"/>
              </w:rPr>
            </w:pPr>
            <w:r>
              <w:rPr>
                <w:rFonts w:hint="eastAsia" w:ascii="宋体" w:hAnsi="宋体" w:eastAsia="宋体" w:cs="仿宋"/>
                <w:kern w:val="0"/>
                <w:sz w:val="24"/>
                <w:lang w:bidi="ar"/>
              </w:rPr>
              <w:t>标准桌面型设备，硬盘≥128GSSD，实配千兆电口≥8个，千兆SFP接口≥2个。网络层吞吐量≥3G，</w:t>
            </w:r>
            <w:r>
              <w:rPr>
                <w:rFonts w:hint="eastAsia" w:ascii="宋体" w:hAnsi="宋体" w:eastAsia="宋体" w:cs="仿宋"/>
                <w:sz w:val="24"/>
              </w:rPr>
              <w:t>应用层吞吐量</w:t>
            </w:r>
            <w:r>
              <w:rPr>
                <w:rFonts w:hint="eastAsia" w:ascii="宋体" w:hAnsi="宋体" w:eastAsia="宋体" w:cs="仿宋"/>
                <w:kern w:val="0"/>
                <w:sz w:val="24"/>
                <w:lang w:bidi="ar"/>
              </w:rPr>
              <w:t>≥</w:t>
            </w:r>
            <w:r>
              <w:rPr>
                <w:rFonts w:hint="eastAsia" w:ascii="宋体" w:hAnsi="宋体" w:eastAsia="宋体" w:cs="仿宋"/>
                <w:sz w:val="24"/>
              </w:rPr>
              <w:t>1.5G，防病毒吞吐量</w:t>
            </w:r>
            <w:r>
              <w:rPr>
                <w:rFonts w:hint="eastAsia" w:ascii="宋体" w:hAnsi="宋体" w:eastAsia="宋体" w:cs="仿宋"/>
                <w:kern w:val="0"/>
                <w:sz w:val="24"/>
                <w:lang w:bidi="ar"/>
              </w:rPr>
              <w:t>≥</w:t>
            </w:r>
            <w:r>
              <w:rPr>
                <w:rFonts w:hint="eastAsia" w:ascii="宋体" w:hAnsi="宋体" w:eastAsia="宋体" w:cs="仿宋"/>
                <w:sz w:val="24"/>
              </w:rPr>
              <w:t>500M，IPS吞吐量</w:t>
            </w:r>
            <w:r>
              <w:rPr>
                <w:rFonts w:hint="eastAsia" w:ascii="宋体" w:hAnsi="宋体" w:eastAsia="宋体" w:cs="仿宋"/>
                <w:kern w:val="0"/>
                <w:sz w:val="24"/>
                <w:lang w:bidi="ar"/>
              </w:rPr>
              <w:t>≥</w:t>
            </w:r>
            <w:r>
              <w:rPr>
                <w:rFonts w:hint="eastAsia" w:ascii="宋体" w:hAnsi="宋体" w:eastAsia="宋体" w:cs="仿宋"/>
                <w:sz w:val="24"/>
              </w:rPr>
              <w:t>500M，全威胁吞吐量</w:t>
            </w:r>
            <w:r>
              <w:rPr>
                <w:rFonts w:hint="eastAsia" w:ascii="宋体" w:hAnsi="宋体" w:eastAsia="宋体" w:cs="仿宋"/>
                <w:kern w:val="0"/>
                <w:sz w:val="24"/>
                <w:lang w:bidi="ar"/>
              </w:rPr>
              <w:t>≥</w:t>
            </w:r>
            <w:r>
              <w:rPr>
                <w:rFonts w:hint="eastAsia" w:ascii="宋体" w:hAnsi="宋体" w:eastAsia="宋体" w:cs="仿宋"/>
                <w:sz w:val="24"/>
              </w:rPr>
              <w:t>450M，</w:t>
            </w:r>
            <w:r>
              <w:rPr>
                <w:rFonts w:hint="eastAsia" w:ascii="宋体" w:hAnsi="宋体" w:eastAsia="宋体" w:cs="仿宋"/>
                <w:kern w:val="0"/>
                <w:sz w:val="24"/>
                <w:lang w:bidi="ar"/>
              </w:rPr>
              <w:t>并发连接数≥90万，HTTP新建连接数≥2.5万，配置入侵防御、防病毒及应用识别模块，3年对应功能模块规则库升级服务。产品必须是专业下一代防火墙设备，非板卡式防火墙或 UTM 设备。</w:t>
            </w:r>
          </w:p>
        </w:tc>
      </w:tr>
      <w:tr w14:paraId="308B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638E699A">
            <w:pPr>
              <w:spacing w:line="360" w:lineRule="auto"/>
              <w:contextualSpacing/>
              <w:jc w:val="center"/>
              <w:rPr>
                <w:rFonts w:ascii="宋体" w:hAnsi="宋体" w:eastAsia="宋体" w:cs="仿宋"/>
                <w:sz w:val="24"/>
              </w:rPr>
            </w:pPr>
            <w:r>
              <w:rPr>
                <w:rFonts w:hint="eastAsia" w:ascii="宋体" w:hAnsi="宋体" w:eastAsia="宋体" w:cs="仿宋"/>
                <w:sz w:val="24"/>
              </w:rPr>
              <w:t>2</w:t>
            </w:r>
          </w:p>
        </w:tc>
        <w:tc>
          <w:tcPr>
            <w:tcW w:w="1134" w:type="dxa"/>
            <w:vAlign w:val="center"/>
          </w:tcPr>
          <w:p w14:paraId="6976158E">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部署方式</w:t>
            </w:r>
          </w:p>
        </w:tc>
        <w:tc>
          <w:tcPr>
            <w:tcW w:w="6379" w:type="dxa"/>
            <w:vAlign w:val="center"/>
          </w:tcPr>
          <w:p w14:paraId="7225D5E7">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产品支持路由模式、透明模式、虚拟网线模式、旁路镜像模式等多种部署方式。</w:t>
            </w:r>
          </w:p>
        </w:tc>
      </w:tr>
      <w:tr w14:paraId="200A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05DB3908">
            <w:pPr>
              <w:spacing w:line="360" w:lineRule="auto"/>
              <w:contextualSpacing/>
              <w:jc w:val="center"/>
              <w:rPr>
                <w:rFonts w:ascii="宋体" w:hAnsi="宋体" w:eastAsia="宋体" w:cs="仿宋"/>
                <w:sz w:val="24"/>
              </w:rPr>
            </w:pPr>
            <w:r>
              <w:rPr>
                <w:rFonts w:hint="eastAsia" w:ascii="宋体" w:hAnsi="宋体" w:eastAsia="宋体" w:cs="仿宋"/>
                <w:sz w:val="24"/>
              </w:rPr>
              <w:t>3</w:t>
            </w:r>
          </w:p>
        </w:tc>
        <w:tc>
          <w:tcPr>
            <w:tcW w:w="1134" w:type="dxa"/>
            <w:vAlign w:val="center"/>
          </w:tcPr>
          <w:p w14:paraId="4627A473">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IPv6支持</w:t>
            </w:r>
          </w:p>
        </w:tc>
        <w:tc>
          <w:tcPr>
            <w:tcW w:w="6379" w:type="dxa"/>
            <w:vAlign w:val="center"/>
          </w:tcPr>
          <w:p w14:paraId="79DCA09F">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产品支持IPv4/IPv6双栈工作模式，以适应IPv6发展趋势。</w:t>
            </w:r>
          </w:p>
        </w:tc>
      </w:tr>
      <w:tr w14:paraId="32A9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5F2FBD0C">
            <w:pPr>
              <w:spacing w:line="360" w:lineRule="auto"/>
              <w:contextualSpacing/>
              <w:jc w:val="center"/>
              <w:rPr>
                <w:rFonts w:ascii="宋体" w:hAnsi="宋体" w:eastAsia="宋体" w:cs="仿宋"/>
                <w:sz w:val="24"/>
              </w:rPr>
            </w:pPr>
            <w:r>
              <w:rPr>
                <w:rFonts w:hint="eastAsia" w:ascii="宋体" w:hAnsi="宋体" w:eastAsia="宋体" w:cs="仿宋"/>
                <w:sz w:val="24"/>
              </w:rPr>
              <w:t>4</w:t>
            </w:r>
          </w:p>
        </w:tc>
        <w:tc>
          <w:tcPr>
            <w:tcW w:w="1134" w:type="dxa"/>
            <w:vAlign w:val="center"/>
          </w:tcPr>
          <w:p w14:paraId="4574635B">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访问控制策略</w:t>
            </w:r>
          </w:p>
        </w:tc>
        <w:tc>
          <w:tcPr>
            <w:tcW w:w="6379" w:type="dxa"/>
            <w:vAlign w:val="center"/>
          </w:tcPr>
          <w:p w14:paraId="1D14666A">
            <w:pPr>
              <w:widowControl/>
              <w:spacing w:line="360" w:lineRule="auto"/>
              <w:textAlignment w:val="center"/>
              <w:rPr>
                <w:rFonts w:ascii="宋体" w:hAnsi="宋体" w:eastAsia="宋体" w:cs="仿宋"/>
                <w:sz w:val="24"/>
              </w:rPr>
            </w:pPr>
            <w:r>
              <w:rPr>
                <w:rFonts w:hint="eastAsia" w:ascii="宋体" w:hAnsi="宋体" w:eastAsia="宋体" w:cs="仿宋"/>
                <w:kern w:val="0"/>
                <w:sz w:val="24"/>
                <w:lang w:bidi="ar"/>
              </w:rPr>
              <w:t>产品支持基于网络区域、网络对象、MAC地址、服务、应用、域名等维度进行访问控制策略设置。</w:t>
            </w:r>
          </w:p>
        </w:tc>
      </w:tr>
      <w:tr w14:paraId="12D5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318BE624">
            <w:pPr>
              <w:spacing w:line="360" w:lineRule="auto"/>
              <w:contextualSpacing/>
              <w:jc w:val="center"/>
              <w:rPr>
                <w:rFonts w:ascii="宋体" w:hAnsi="宋体" w:eastAsia="宋体" w:cs="仿宋"/>
                <w:sz w:val="24"/>
              </w:rPr>
            </w:pPr>
            <w:r>
              <w:rPr>
                <w:rFonts w:hint="eastAsia" w:ascii="宋体" w:hAnsi="宋体" w:eastAsia="宋体" w:cs="仿宋"/>
                <w:sz w:val="24"/>
              </w:rPr>
              <w:t>5</w:t>
            </w:r>
          </w:p>
        </w:tc>
        <w:tc>
          <w:tcPr>
            <w:tcW w:w="1134" w:type="dxa"/>
            <w:vAlign w:val="center"/>
          </w:tcPr>
          <w:p w14:paraId="5F08CA98">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策略分析</w:t>
            </w:r>
          </w:p>
        </w:tc>
        <w:tc>
          <w:tcPr>
            <w:tcW w:w="6379" w:type="dxa"/>
            <w:vAlign w:val="center"/>
          </w:tcPr>
          <w:p w14:paraId="6F51090D">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支持安全策略有效性分析功能，分析内容至少包括策略冗余分析、策略匹配分析、风险端口风险等内容，提供安全策略优化建议。</w:t>
            </w:r>
          </w:p>
        </w:tc>
      </w:tr>
      <w:tr w14:paraId="6CC1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14E41DE8">
            <w:pPr>
              <w:spacing w:line="360" w:lineRule="auto"/>
              <w:contextualSpacing/>
              <w:jc w:val="center"/>
              <w:rPr>
                <w:rFonts w:ascii="宋体" w:hAnsi="宋体" w:eastAsia="宋体" w:cs="仿宋"/>
                <w:sz w:val="24"/>
              </w:rPr>
            </w:pPr>
            <w:r>
              <w:rPr>
                <w:rFonts w:hint="eastAsia" w:ascii="宋体" w:hAnsi="宋体" w:eastAsia="宋体" w:cs="仿宋"/>
                <w:sz w:val="24"/>
              </w:rPr>
              <w:t>6</w:t>
            </w:r>
          </w:p>
        </w:tc>
        <w:tc>
          <w:tcPr>
            <w:tcW w:w="1134" w:type="dxa"/>
            <w:vAlign w:val="center"/>
          </w:tcPr>
          <w:p w14:paraId="0E5C131E">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应用识别</w:t>
            </w:r>
          </w:p>
        </w:tc>
        <w:tc>
          <w:tcPr>
            <w:tcW w:w="6379" w:type="dxa"/>
            <w:vAlign w:val="center"/>
          </w:tcPr>
          <w:p w14:paraId="7D562476">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产品支持对不少于9000种应用的识别和控制，应用类型包括游戏、购物、图书百科、工作招聘、P2P下载、聊天工具、旅游出行、股票软件等类型应用进行检测与控制。</w:t>
            </w:r>
          </w:p>
        </w:tc>
      </w:tr>
      <w:tr w14:paraId="0959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5E7F9111">
            <w:pPr>
              <w:spacing w:line="360" w:lineRule="auto"/>
              <w:contextualSpacing/>
              <w:jc w:val="center"/>
              <w:rPr>
                <w:rFonts w:ascii="宋体" w:hAnsi="宋体" w:eastAsia="宋体" w:cs="仿宋"/>
                <w:sz w:val="24"/>
              </w:rPr>
            </w:pPr>
            <w:r>
              <w:rPr>
                <w:rFonts w:hint="eastAsia" w:ascii="宋体" w:hAnsi="宋体" w:eastAsia="宋体" w:cs="仿宋"/>
                <w:sz w:val="24"/>
              </w:rPr>
              <w:t>7</w:t>
            </w:r>
          </w:p>
        </w:tc>
        <w:tc>
          <w:tcPr>
            <w:tcW w:w="1134" w:type="dxa"/>
            <w:vAlign w:val="center"/>
          </w:tcPr>
          <w:p w14:paraId="5EED188F">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僵尸主机检测</w:t>
            </w:r>
          </w:p>
        </w:tc>
        <w:tc>
          <w:tcPr>
            <w:tcW w:w="6379" w:type="dxa"/>
            <w:vAlign w:val="center"/>
          </w:tcPr>
          <w:p w14:paraId="48D4088E">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支持僵尸主机检测功能，内置僵尸网络特征库超过128万种，可识别主机的异常外联行为。</w:t>
            </w:r>
          </w:p>
        </w:tc>
      </w:tr>
      <w:tr w14:paraId="3580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3804E9AF">
            <w:pPr>
              <w:spacing w:line="360" w:lineRule="auto"/>
              <w:contextualSpacing/>
              <w:jc w:val="center"/>
              <w:rPr>
                <w:rFonts w:ascii="宋体" w:hAnsi="宋体" w:eastAsia="宋体" w:cs="仿宋"/>
                <w:sz w:val="24"/>
              </w:rPr>
            </w:pPr>
            <w:r>
              <w:rPr>
                <w:rFonts w:hint="eastAsia" w:ascii="宋体" w:hAnsi="宋体" w:eastAsia="宋体" w:cs="仿宋"/>
                <w:sz w:val="24"/>
              </w:rPr>
              <w:t>8</w:t>
            </w:r>
          </w:p>
        </w:tc>
        <w:tc>
          <w:tcPr>
            <w:tcW w:w="1134" w:type="dxa"/>
            <w:vAlign w:val="center"/>
          </w:tcPr>
          <w:p w14:paraId="2F85B245">
            <w:pPr>
              <w:widowControl/>
              <w:spacing w:line="360" w:lineRule="auto"/>
              <w:jc w:val="center"/>
              <w:textAlignment w:val="center"/>
              <w:rPr>
                <w:rFonts w:ascii="宋体" w:hAnsi="宋体" w:eastAsia="宋体" w:cs="仿宋"/>
                <w:kern w:val="0"/>
                <w:sz w:val="24"/>
                <w:lang w:bidi="ar"/>
              </w:rPr>
            </w:pPr>
            <w:r>
              <w:rPr>
                <w:rFonts w:hint="eastAsia" w:ascii="宋体" w:hAnsi="宋体" w:eastAsia="宋体" w:cs="仿宋"/>
                <w:kern w:val="0"/>
                <w:sz w:val="24"/>
                <w:lang w:bidi="ar"/>
              </w:rPr>
              <w:t>防勒索</w:t>
            </w:r>
          </w:p>
        </w:tc>
        <w:tc>
          <w:tcPr>
            <w:tcW w:w="6379" w:type="dxa"/>
            <w:vAlign w:val="center"/>
          </w:tcPr>
          <w:p w14:paraId="3714D6C9">
            <w:pPr>
              <w:widowControl/>
              <w:spacing w:line="360" w:lineRule="auto"/>
              <w:textAlignment w:val="center"/>
              <w:rPr>
                <w:rFonts w:ascii="宋体" w:hAnsi="宋体" w:eastAsia="宋体" w:cs="仿宋"/>
                <w:kern w:val="0"/>
                <w:sz w:val="24"/>
                <w:lang w:bidi="ar"/>
              </w:rPr>
            </w:pPr>
            <w:r>
              <w:rPr>
                <w:rFonts w:hint="eastAsia" w:ascii="宋体" w:hAnsi="宋体" w:eastAsia="宋体" w:cs="仿宋"/>
                <w:kern w:val="0"/>
                <w:sz w:val="24"/>
                <w:lang w:bidi="ar"/>
              </w:rPr>
              <w:t>支持独立的勒索病毒防护，支持进行勒索风险自动化评估，并依据评估结果自动生成防护策略。</w:t>
            </w:r>
          </w:p>
        </w:tc>
      </w:tr>
      <w:tr w14:paraId="5024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24C8F50C">
            <w:pPr>
              <w:spacing w:line="360" w:lineRule="auto"/>
              <w:contextualSpacing/>
              <w:jc w:val="center"/>
              <w:rPr>
                <w:rFonts w:ascii="宋体" w:hAnsi="宋体" w:eastAsia="宋体" w:cs="仿宋"/>
                <w:sz w:val="24"/>
              </w:rPr>
            </w:pPr>
            <w:r>
              <w:rPr>
                <w:rFonts w:hint="eastAsia" w:ascii="宋体" w:hAnsi="宋体" w:eastAsia="宋体" w:cs="仿宋"/>
                <w:sz w:val="24"/>
              </w:rPr>
              <w:t>9</w:t>
            </w:r>
          </w:p>
        </w:tc>
        <w:tc>
          <w:tcPr>
            <w:tcW w:w="1134" w:type="dxa"/>
            <w:vAlign w:val="center"/>
          </w:tcPr>
          <w:p w14:paraId="4C6D86FB">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杀毒白名单</w:t>
            </w:r>
          </w:p>
        </w:tc>
        <w:tc>
          <w:tcPr>
            <w:tcW w:w="6379" w:type="dxa"/>
            <w:vAlign w:val="center"/>
          </w:tcPr>
          <w:p w14:paraId="20E018D0">
            <w:pPr>
              <w:widowControl/>
              <w:spacing w:line="360" w:lineRule="auto"/>
              <w:textAlignment w:val="center"/>
              <w:rPr>
                <w:rFonts w:ascii="宋体" w:hAnsi="宋体" w:eastAsia="宋体" w:cs="仿宋"/>
                <w:bCs/>
                <w:sz w:val="24"/>
              </w:rPr>
            </w:pPr>
            <w:r>
              <w:rPr>
                <w:rFonts w:hint="eastAsia" w:ascii="宋体" w:hAnsi="宋体" w:eastAsia="宋体" w:cs="仿宋"/>
                <w:kern w:val="0"/>
                <w:sz w:val="24"/>
                <w:lang w:bidi="ar"/>
              </w:rPr>
              <w:t>产品支持杀毒白名单设置，可以例外排除特定MD5和URL的病毒文件，针对特定文件不进行查杀。</w:t>
            </w:r>
          </w:p>
        </w:tc>
      </w:tr>
      <w:tr w14:paraId="7F06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vAlign w:val="center"/>
          </w:tcPr>
          <w:p w14:paraId="27CBA069">
            <w:pPr>
              <w:spacing w:line="360" w:lineRule="auto"/>
              <w:contextualSpacing/>
              <w:jc w:val="center"/>
              <w:rPr>
                <w:rFonts w:ascii="宋体" w:hAnsi="宋体" w:eastAsia="宋体" w:cs="仿宋"/>
                <w:sz w:val="24"/>
              </w:rPr>
            </w:pPr>
            <w:r>
              <w:rPr>
                <w:rFonts w:hint="eastAsia" w:ascii="宋体" w:hAnsi="宋体" w:eastAsia="宋体" w:cs="仿宋"/>
                <w:sz w:val="24"/>
              </w:rPr>
              <w:t>10</w:t>
            </w:r>
          </w:p>
        </w:tc>
        <w:tc>
          <w:tcPr>
            <w:tcW w:w="1134" w:type="dxa"/>
            <w:vAlign w:val="center"/>
          </w:tcPr>
          <w:p w14:paraId="49D593AB">
            <w:pPr>
              <w:widowControl/>
              <w:spacing w:line="360" w:lineRule="auto"/>
              <w:jc w:val="center"/>
              <w:textAlignment w:val="center"/>
              <w:rPr>
                <w:rFonts w:ascii="宋体" w:hAnsi="宋体" w:eastAsia="宋体" w:cs="仿宋"/>
                <w:sz w:val="24"/>
              </w:rPr>
            </w:pPr>
            <w:r>
              <w:rPr>
                <w:rFonts w:hint="eastAsia" w:ascii="宋体" w:hAnsi="宋体" w:eastAsia="宋体" w:cs="仿宋"/>
                <w:kern w:val="0"/>
                <w:sz w:val="24"/>
                <w:lang w:bidi="ar"/>
              </w:rPr>
              <w:t>账号安全</w:t>
            </w:r>
          </w:p>
        </w:tc>
        <w:tc>
          <w:tcPr>
            <w:tcW w:w="6379" w:type="dxa"/>
            <w:vAlign w:val="center"/>
          </w:tcPr>
          <w:p w14:paraId="218ED174">
            <w:pPr>
              <w:widowControl/>
              <w:spacing w:line="360" w:lineRule="auto"/>
              <w:textAlignment w:val="center"/>
              <w:rPr>
                <w:rFonts w:ascii="宋体" w:hAnsi="宋体" w:eastAsia="宋体" w:cs="仿宋"/>
                <w:kern w:val="0"/>
                <w:sz w:val="24"/>
              </w:rPr>
            </w:pPr>
            <w:r>
              <w:rPr>
                <w:rFonts w:hint="eastAsia" w:ascii="宋体" w:hAnsi="宋体" w:eastAsia="宋体" w:cs="仿宋"/>
                <w:kern w:val="0"/>
                <w:sz w:val="24"/>
                <w:lang w:bidi="ar"/>
              </w:rPr>
              <w:t>产品支持独立的账号安全防护模块，具备事前账号脆弱性、事中账号爆破、事后账号失陷的全生命周期安全防护。</w:t>
            </w:r>
          </w:p>
        </w:tc>
      </w:tr>
    </w:tbl>
    <w:p w14:paraId="221337A1">
      <w:pPr>
        <w:jc w:val="left"/>
        <w:rPr>
          <w:b/>
          <w:bCs/>
          <w:sz w:val="28"/>
          <w:szCs w:val="28"/>
        </w:rPr>
      </w:pPr>
      <w:r>
        <w:rPr>
          <w:rFonts w:hint="eastAsia"/>
          <w:b/>
          <w:bCs/>
          <w:sz w:val="28"/>
          <w:szCs w:val="28"/>
        </w:rPr>
        <w:t>五、服务要求：按合同完成全部工作，提供 3 年软件升级、硬件质保和对应规则库更新服务。</w:t>
      </w:r>
    </w:p>
    <w:p w14:paraId="63E56C2B">
      <w:pPr>
        <w:jc w:val="left"/>
        <w:rPr>
          <w:sz w:val="28"/>
          <w:szCs w:val="28"/>
        </w:rPr>
      </w:pPr>
      <w:r>
        <w:rPr>
          <w:rFonts w:hint="eastAsia"/>
          <w:b/>
          <w:bCs/>
          <w:sz w:val="28"/>
          <w:szCs w:val="28"/>
        </w:rPr>
        <w:t>六、投标文件要求：</w:t>
      </w:r>
    </w:p>
    <w:p w14:paraId="41CA6E7D">
      <w:pPr>
        <w:jc w:val="left"/>
        <w:rPr>
          <w:sz w:val="28"/>
          <w:szCs w:val="28"/>
        </w:rPr>
      </w:pPr>
      <w:r>
        <w:rPr>
          <w:rFonts w:hint="eastAsia"/>
          <w:sz w:val="28"/>
          <w:szCs w:val="28"/>
        </w:rPr>
        <w:t>（一）投标文件</w:t>
      </w:r>
    </w:p>
    <w:p w14:paraId="36FE1378">
      <w:pPr>
        <w:jc w:val="left"/>
        <w:rPr>
          <w:sz w:val="28"/>
          <w:szCs w:val="28"/>
        </w:rPr>
      </w:pPr>
      <w:r>
        <w:rPr>
          <w:rFonts w:hint="eastAsia"/>
          <w:sz w:val="28"/>
          <w:szCs w:val="28"/>
        </w:rPr>
        <w:t>应包含但不限于以下资料，所有复印件须加盖单位公章：</w:t>
      </w:r>
    </w:p>
    <w:p w14:paraId="26CFE90E">
      <w:pPr>
        <w:jc w:val="left"/>
        <w:rPr>
          <w:sz w:val="28"/>
          <w:szCs w:val="28"/>
        </w:rPr>
      </w:pPr>
      <w:r>
        <w:rPr>
          <w:rFonts w:hint="eastAsia"/>
          <w:sz w:val="28"/>
          <w:szCs w:val="28"/>
        </w:rPr>
        <w:t>1.资质文件：营业执照、相关资质证书、法定代表人授权委托书、法定代表人身份证及被委托人身份证复印件。</w:t>
      </w:r>
    </w:p>
    <w:p w14:paraId="531078DD">
      <w:pPr>
        <w:jc w:val="left"/>
        <w:rPr>
          <w:sz w:val="28"/>
          <w:szCs w:val="28"/>
        </w:rPr>
      </w:pPr>
      <w:r>
        <w:rPr>
          <w:rFonts w:hint="eastAsia"/>
          <w:sz w:val="28"/>
          <w:szCs w:val="28"/>
        </w:rPr>
        <w:t>2.项目方案及工期计划</w:t>
      </w:r>
    </w:p>
    <w:p w14:paraId="5BE86CD0">
      <w:pPr>
        <w:jc w:val="left"/>
        <w:rPr>
          <w:sz w:val="28"/>
          <w:szCs w:val="28"/>
        </w:rPr>
      </w:pPr>
      <w:r>
        <w:rPr>
          <w:rFonts w:hint="eastAsia"/>
          <w:sz w:val="28"/>
          <w:szCs w:val="28"/>
        </w:rPr>
        <w:t>3.项目报价清单</w:t>
      </w:r>
    </w:p>
    <w:p w14:paraId="2B66836E">
      <w:pPr>
        <w:jc w:val="left"/>
        <w:rPr>
          <w:sz w:val="28"/>
          <w:szCs w:val="28"/>
        </w:rPr>
      </w:pPr>
      <w:r>
        <w:rPr>
          <w:rFonts w:hint="eastAsia"/>
          <w:sz w:val="28"/>
          <w:szCs w:val="28"/>
        </w:rPr>
        <w:t>4.项目业绩材料：近三年类似项目合同复印件。</w:t>
      </w:r>
    </w:p>
    <w:p w14:paraId="6A7075F7">
      <w:pPr>
        <w:jc w:val="left"/>
        <w:rPr>
          <w:sz w:val="28"/>
          <w:szCs w:val="28"/>
        </w:rPr>
      </w:pPr>
      <w:r>
        <w:rPr>
          <w:rFonts w:hint="eastAsia"/>
          <w:sz w:val="28"/>
          <w:szCs w:val="28"/>
        </w:rPr>
        <w:t>5.售后服务承诺书</w:t>
      </w:r>
    </w:p>
    <w:p w14:paraId="417146C4">
      <w:pPr>
        <w:jc w:val="left"/>
        <w:rPr>
          <w:sz w:val="28"/>
          <w:szCs w:val="28"/>
        </w:rPr>
      </w:pPr>
      <w:r>
        <w:rPr>
          <w:rFonts w:hint="eastAsia"/>
          <w:sz w:val="28"/>
          <w:szCs w:val="28"/>
        </w:rPr>
        <w:t>6.投标人信用声明：查询渠道：信用中国网站和中国政府采购网（www.creditchina.gov.cn、www.ccgp.gov.cn）。查询时间为标书递交当月，随投标文件一同送达。</w:t>
      </w:r>
    </w:p>
    <w:p w14:paraId="3BEBFF89">
      <w:pPr>
        <w:jc w:val="left"/>
        <w:rPr>
          <w:sz w:val="28"/>
          <w:szCs w:val="28"/>
        </w:rPr>
      </w:pPr>
      <w:r>
        <w:rPr>
          <w:rFonts w:hint="eastAsia"/>
          <w:sz w:val="28"/>
          <w:szCs w:val="28"/>
        </w:rPr>
        <w:t>（二）递交材料截止时间</w:t>
      </w:r>
    </w:p>
    <w:p w14:paraId="45CA16A4">
      <w:pPr>
        <w:jc w:val="left"/>
        <w:rPr>
          <w:sz w:val="28"/>
          <w:szCs w:val="28"/>
        </w:rPr>
      </w:pPr>
      <w:r>
        <w:rPr>
          <w:rFonts w:hint="eastAsia"/>
          <w:sz w:val="28"/>
          <w:szCs w:val="28"/>
        </w:rPr>
        <w:t>2026 年 10月12 日17 时，逾期递交视为无效投标。</w:t>
      </w:r>
    </w:p>
    <w:p w14:paraId="2F5FBF57">
      <w:pPr>
        <w:jc w:val="left"/>
        <w:rPr>
          <w:sz w:val="28"/>
          <w:szCs w:val="28"/>
        </w:rPr>
      </w:pPr>
      <w:r>
        <w:rPr>
          <w:rFonts w:hint="eastAsia"/>
          <w:sz w:val="28"/>
          <w:szCs w:val="28"/>
        </w:rPr>
        <w:t>（三）递交方式</w:t>
      </w:r>
    </w:p>
    <w:p w14:paraId="02478F43">
      <w:pPr>
        <w:ind w:firstLine="560" w:firstLineChars="200"/>
        <w:jc w:val="left"/>
        <w:rPr>
          <w:sz w:val="28"/>
          <w:szCs w:val="28"/>
        </w:rPr>
      </w:pPr>
      <w:r>
        <w:rPr>
          <w:rFonts w:hint="eastAsia"/>
          <w:sz w:val="28"/>
          <w:szCs w:val="28"/>
        </w:rPr>
        <w:t>电子版投标文件U盘；纸质版投标文件一式叁份，一正两副，密封加盖公章，递交至中心采购办公室。</w:t>
      </w:r>
    </w:p>
    <w:p w14:paraId="4F8D2428">
      <w:pPr>
        <w:jc w:val="left"/>
        <w:rPr>
          <w:b/>
          <w:bCs/>
          <w:sz w:val="28"/>
          <w:szCs w:val="28"/>
        </w:rPr>
      </w:pPr>
      <w:r>
        <w:rPr>
          <w:rFonts w:hint="eastAsia"/>
          <w:b/>
          <w:bCs/>
          <w:sz w:val="28"/>
          <w:szCs w:val="28"/>
        </w:rPr>
        <w:t>七、联系方式</w:t>
      </w:r>
    </w:p>
    <w:p w14:paraId="19CF98F9">
      <w:pPr>
        <w:jc w:val="left"/>
        <w:rPr>
          <w:sz w:val="28"/>
          <w:szCs w:val="28"/>
        </w:rPr>
      </w:pPr>
      <w:r>
        <w:rPr>
          <w:rFonts w:hint="eastAsia"/>
          <w:sz w:val="28"/>
          <w:szCs w:val="28"/>
        </w:rPr>
        <w:t>招标负责人：王老师      联系电话：010-67226228</w:t>
      </w:r>
    </w:p>
    <w:p w14:paraId="59B9118E">
      <w:pPr>
        <w:jc w:val="left"/>
        <w:rPr>
          <w:sz w:val="28"/>
          <w:szCs w:val="28"/>
        </w:rPr>
      </w:pPr>
      <w:r>
        <w:rPr>
          <w:rFonts w:hint="eastAsia"/>
          <w:sz w:val="28"/>
          <w:szCs w:val="28"/>
        </w:rPr>
        <w:t>地址：西罗园社区卫生服务中心</w:t>
      </w:r>
    </w:p>
    <w:p w14:paraId="2584D20A">
      <w:pPr>
        <w:jc w:val="left"/>
        <w:rPr>
          <w:b/>
          <w:bCs/>
          <w:sz w:val="28"/>
          <w:szCs w:val="28"/>
        </w:rPr>
      </w:pPr>
      <w:r>
        <w:rPr>
          <w:rFonts w:hint="eastAsia"/>
          <w:b/>
          <w:bCs/>
          <w:sz w:val="28"/>
          <w:szCs w:val="28"/>
        </w:rPr>
        <w:t>八、开启时间及地点</w:t>
      </w:r>
    </w:p>
    <w:p w14:paraId="7CE32B8D">
      <w:pPr>
        <w:jc w:val="left"/>
        <w:rPr>
          <w:sz w:val="28"/>
          <w:szCs w:val="28"/>
        </w:rPr>
      </w:pPr>
      <w:r>
        <w:rPr>
          <w:rFonts w:hint="eastAsia"/>
          <w:sz w:val="28"/>
          <w:szCs w:val="28"/>
        </w:rPr>
        <w:t>时间：2026年10月13日 14:00</w:t>
      </w:r>
    </w:p>
    <w:p w14:paraId="5B7D41B3">
      <w:pPr>
        <w:jc w:val="left"/>
        <w:rPr>
          <w:sz w:val="28"/>
          <w:szCs w:val="28"/>
        </w:rPr>
      </w:pPr>
      <w:r>
        <w:rPr>
          <w:rFonts w:hint="eastAsia"/>
          <w:sz w:val="28"/>
          <w:szCs w:val="28"/>
        </w:rPr>
        <w:t>地点：北京市丰台区西罗园社区卫生服务中心会议室。</w:t>
      </w:r>
    </w:p>
    <w:p w14:paraId="283F66B8">
      <w:pPr>
        <w:jc w:val="left"/>
        <w:rPr>
          <w:b/>
          <w:bCs/>
          <w:sz w:val="28"/>
          <w:szCs w:val="28"/>
        </w:rPr>
      </w:pPr>
      <w:r>
        <w:rPr>
          <w:rFonts w:hint="eastAsia"/>
          <w:b/>
          <w:bCs/>
          <w:sz w:val="28"/>
          <w:szCs w:val="28"/>
        </w:rPr>
        <w:t>九、发布公告的媒介</w:t>
      </w:r>
    </w:p>
    <w:p w14:paraId="02F93933">
      <w:pPr>
        <w:jc w:val="left"/>
        <w:rPr>
          <w:sz w:val="28"/>
          <w:szCs w:val="28"/>
        </w:rPr>
      </w:pPr>
      <w:r>
        <w:rPr>
          <w:rFonts w:hint="eastAsia"/>
          <w:sz w:val="28"/>
          <w:szCs w:val="28"/>
        </w:rPr>
        <w:t>本次公告在“北京市丰台区西罗园社区卫生服务中心官方网站”上发布。</w:t>
      </w:r>
    </w:p>
    <w:p w14:paraId="0731D211">
      <w:pPr>
        <w:jc w:val="left"/>
        <w:rPr>
          <w:sz w:val="28"/>
          <w:szCs w:val="28"/>
        </w:rPr>
      </w:pPr>
    </w:p>
    <w:p w14:paraId="7CD9F421">
      <w:pPr>
        <w:jc w:val="right"/>
        <w:rPr>
          <w:sz w:val="28"/>
          <w:szCs w:val="28"/>
        </w:rPr>
      </w:pPr>
      <w:r>
        <w:rPr>
          <w:rFonts w:hint="eastAsia"/>
          <w:sz w:val="28"/>
          <w:szCs w:val="28"/>
        </w:rPr>
        <w:t>北京市丰台区西罗园社区卫生服务中心</w:t>
      </w:r>
    </w:p>
    <w:p w14:paraId="19A14654">
      <w:pPr>
        <w:jc w:val="right"/>
        <w:rPr>
          <w:sz w:val="28"/>
          <w:szCs w:val="28"/>
        </w:rPr>
      </w:pPr>
      <w:r>
        <w:rPr>
          <w:rFonts w:hint="eastAsia"/>
          <w:sz w:val="28"/>
          <w:szCs w:val="28"/>
        </w:rPr>
        <w:t>2026年 9月 30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B69A5"/>
    <w:multiLevelType w:val="singleLevel"/>
    <w:tmpl w:val="FDFB69A5"/>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1BD"/>
    <w:rsid w:val="000238CA"/>
    <w:rsid w:val="00075E4A"/>
    <w:rsid w:val="00095330"/>
    <w:rsid w:val="000B1764"/>
    <w:rsid w:val="00186C8E"/>
    <w:rsid w:val="0027750B"/>
    <w:rsid w:val="003979B2"/>
    <w:rsid w:val="00631788"/>
    <w:rsid w:val="006E0EA6"/>
    <w:rsid w:val="008262A2"/>
    <w:rsid w:val="00A556FB"/>
    <w:rsid w:val="00A801EF"/>
    <w:rsid w:val="00A85186"/>
    <w:rsid w:val="00BE70F0"/>
    <w:rsid w:val="00C3114F"/>
    <w:rsid w:val="00C962A6"/>
    <w:rsid w:val="00D37FA5"/>
    <w:rsid w:val="00D709EE"/>
    <w:rsid w:val="00E30525"/>
    <w:rsid w:val="00F0037E"/>
    <w:rsid w:val="00F06C60"/>
    <w:rsid w:val="00F07908"/>
    <w:rsid w:val="00F91532"/>
    <w:rsid w:val="00FC51BD"/>
    <w:rsid w:val="00FE50AF"/>
    <w:rsid w:val="015273EE"/>
    <w:rsid w:val="060C68AF"/>
    <w:rsid w:val="0DF47FFF"/>
    <w:rsid w:val="12E017EF"/>
    <w:rsid w:val="14ED2C64"/>
    <w:rsid w:val="1D2240CC"/>
    <w:rsid w:val="27A103D1"/>
    <w:rsid w:val="3330332D"/>
    <w:rsid w:val="34272D47"/>
    <w:rsid w:val="36C71784"/>
    <w:rsid w:val="3DC56D68"/>
    <w:rsid w:val="41C748BD"/>
    <w:rsid w:val="4B421E9C"/>
    <w:rsid w:val="4B9A7A86"/>
    <w:rsid w:val="4CF65190"/>
    <w:rsid w:val="5D0B4127"/>
    <w:rsid w:val="61DB4C28"/>
    <w:rsid w:val="62841D68"/>
    <w:rsid w:val="676416BA"/>
    <w:rsid w:val="6AEC02F4"/>
    <w:rsid w:val="6FAB219A"/>
    <w:rsid w:val="703E3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2879</Words>
  <Characters>3136</Characters>
  <Lines>23</Lines>
  <Paragraphs>6</Paragraphs>
  <TotalTime>14</TotalTime>
  <ScaleCrop>false</ScaleCrop>
  <LinksUpToDate>false</LinksUpToDate>
  <CharactersWithSpaces>3160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2026-10-09T02:54:00Z</dcterms:created>
  <dc:creator>YF</dc:creator>
  <cp:lastModifiedBy>Alone</cp:lastModifiedBy>
  <cp:lastPrinted>2026-09-03T00:39:00Z</cp:lastPrinted>
  <dcterms:modified xsi:type="dcterms:W3CDTF">2026-10-13T07:38:21Z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KSOTemplateDocerSaveRecord">
    <vt:lpwstr>eyJoZGlkIjoiMDg5ZDI3ZTg4NGNiNTdiNTJkNzFiODZjOWI5YTc0YjQiLCJ1c2VySWQiOiI3MDgxMjc4MDMifQ==</vt:lpwstr>
  </property>
  <property fmtid="{D5CDD505-2E9C-101B-9397-08002B2CF9AE}" pid="4" name="ICV">
    <vt:lpwstr>0AEECFC4C1D842D290A3FF63AE3CA4D5_13</vt:lpwstr>
  </property>
  <property fmtid="{D5CDD505-2E9C-101B-9397-08002B2CF9AE}" pid="5" name="MSIP_Label_defa4170-0d19-0005-0004-bc88714345d2_Enabled">
    <vt:lpwstr>true</vt:lpwstr>
  </property>
  <property fmtid="{D5CDD505-2E9C-101B-9397-08002B2CF9AE}" pid="6" name="MSIP_Label_defa4170-0d19-0005-0004-bc88714345d2_SetDate">
    <vt:lpwstr>2026-10-09T02:54:36Z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9035762c-6d77-4507-af26-221fe52d2377</vt:lpwstr>
  </property>
  <property fmtid="{D5CDD505-2E9C-101B-9397-08002B2CF9AE}" pid="10" name="MSIP_Label_defa4170-0d19-0005-0004-bc88714345d2_ActionId">
    <vt:lpwstr>80c9542c-f23a-45c2-bd12-c87ebe8d1d00</vt:lpwstr>
  </property>
  <property fmtid="{D5CDD505-2E9C-101B-9397-08002B2CF9AE}" pid="11" name="MSIP_Label_defa4170-0d19-0005-0004-bc88714345d2_ContentBits">
    <vt:lpwstr>0</vt:lpwstr>
  </property>
  <property fmtid="{D5CDD505-2E9C-101B-9397-08002B2CF9AE}" pid="12" name="MSIP_Label_defa4170-0d19-0005-0004-bc88714345d2_Tag">
    <vt:lpwstr>50, 3, 0, 1</vt:lpwstr>
  </property>
</Properties>
</file>